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1DCD3" w14:textId="77777777" w:rsidR="00E250E8" w:rsidRPr="00B840FE" w:rsidRDefault="00E250E8" w:rsidP="00E250E8">
      <w:pPr>
        <w:spacing w:before="100" w:beforeAutospacing="1" w:after="100" w:afterAutospacing="1" w:line="240" w:lineRule="auto"/>
        <w:outlineLvl w:val="1"/>
        <w:rPr>
          <w:rFonts w:ascii="Times New Roman" w:eastAsia="Times New Roman" w:hAnsi="Times New Roman" w:cs="Times New Roman"/>
          <w:b/>
          <w:bCs/>
          <w:kern w:val="0"/>
          <w:sz w:val="28"/>
          <w:szCs w:val="28"/>
          <w:lang w:eastAsia="es-CO"/>
          <w14:ligatures w14:val="none"/>
        </w:rPr>
      </w:pPr>
      <w:r w:rsidRPr="000924A4">
        <w:rPr>
          <w:rFonts w:ascii="Times New Roman" w:eastAsia="Times New Roman" w:hAnsi="Times New Roman" w:cs="Times New Roman"/>
          <w:b/>
          <w:bCs/>
          <w:kern w:val="0"/>
          <w:sz w:val="28"/>
          <w:szCs w:val="28"/>
          <w:highlight w:val="yellow"/>
          <w:lang w:eastAsia="es-CO"/>
          <w14:ligatures w14:val="none"/>
        </w:rPr>
        <w:t>Análisis crítico constructivo de las estrategias, programas, proyectos y acciones del Banco de Desarrollo de América Latina y el Caribe (CAF) en educación, educación superior, ciencia, tecnología e innovación (2021–2026)</w:t>
      </w:r>
    </w:p>
    <w:p w14:paraId="621948FD" w14:textId="65B8EB9E" w:rsidR="008E1DDB" w:rsidRPr="005005ED" w:rsidRDefault="008E1DDB" w:rsidP="008E1DDB">
      <w:pPr>
        <w:rPr>
          <w:lang w:val="es-MX"/>
        </w:rPr>
      </w:pPr>
      <w:r>
        <w:rPr>
          <w:rFonts w:ascii="Times New Roman" w:eastAsia="Times New Roman" w:hAnsi="Times New Roman" w:cs="Times New Roman"/>
          <w:b/>
          <w:bCs/>
          <w:kern w:val="0"/>
          <w:sz w:val="27"/>
          <w:szCs w:val="27"/>
          <w:lang w:eastAsia="es-CO"/>
          <w14:ligatures w14:val="none"/>
        </w:rPr>
        <w:t>E</w:t>
      </w:r>
      <w:r w:rsidRPr="00A2235B">
        <w:rPr>
          <w:rFonts w:ascii="Times New Roman" w:eastAsia="Times New Roman" w:hAnsi="Times New Roman" w:cs="Times New Roman"/>
          <w:b/>
          <w:bCs/>
          <w:kern w:val="0"/>
          <w:sz w:val="27"/>
          <w:szCs w:val="27"/>
          <w:lang w:eastAsia="es-CO"/>
          <w14:ligatures w14:val="none"/>
        </w:rPr>
        <w:t xml:space="preserve">structura </w:t>
      </w:r>
    </w:p>
    <w:p w14:paraId="7F120C90" w14:textId="77777777" w:rsidR="008E1DDB" w:rsidRPr="00A2235B" w:rsidRDefault="008E1DDB" w:rsidP="008E1DDB">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A2235B">
        <w:rPr>
          <w:rFonts w:ascii="Times New Roman" w:eastAsia="Times New Roman" w:hAnsi="Times New Roman" w:cs="Times New Roman"/>
          <w:b/>
          <w:bCs/>
          <w:kern w:val="0"/>
          <w:sz w:val="24"/>
          <w:szCs w:val="24"/>
          <w:lang w:eastAsia="es-CO"/>
          <w14:ligatures w14:val="none"/>
        </w:rPr>
        <w:t>Portada</w:t>
      </w:r>
      <w:r w:rsidRPr="00A2235B">
        <w:rPr>
          <w:rFonts w:ascii="Times New Roman" w:eastAsia="Times New Roman" w:hAnsi="Times New Roman" w:cs="Times New Roman"/>
          <w:kern w:val="0"/>
          <w:sz w:val="24"/>
          <w:szCs w:val="24"/>
          <w:lang w:eastAsia="es-CO"/>
          <w14:ligatures w14:val="none"/>
        </w:rPr>
        <w:t xml:space="preserve"> (1 página) </w:t>
      </w:r>
    </w:p>
    <w:p w14:paraId="7278FDC6" w14:textId="77777777" w:rsidR="008E1DDB" w:rsidRPr="00A2235B" w:rsidRDefault="008E1DDB" w:rsidP="008E1DDB">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A2235B">
        <w:rPr>
          <w:rFonts w:ascii="Times New Roman" w:eastAsia="Times New Roman" w:hAnsi="Times New Roman" w:cs="Times New Roman"/>
          <w:b/>
          <w:bCs/>
          <w:kern w:val="0"/>
          <w:sz w:val="24"/>
          <w:szCs w:val="24"/>
          <w:lang w:eastAsia="es-CO"/>
          <w14:ligatures w14:val="none"/>
        </w:rPr>
        <w:t>Introducción</w:t>
      </w:r>
      <w:r w:rsidRPr="00A2235B">
        <w:rPr>
          <w:rFonts w:ascii="Times New Roman" w:eastAsia="Times New Roman" w:hAnsi="Times New Roman" w:cs="Times New Roman"/>
          <w:kern w:val="0"/>
          <w:sz w:val="24"/>
          <w:szCs w:val="24"/>
          <w:lang w:eastAsia="es-CO"/>
          <w14:ligatures w14:val="none"/>
        </w:rPr>
        <w:t xml:space="preserve"> </w:t>
      </w:r>
    </w:p>
    <w:p w14:paraId="26AC92BC" w14:textId="77777777" w:rsidR="008E1DDB" w:rsidRPr="00A2235B" w:rsidRDefault="008E1DDB" w:rsidP="008E1DDB">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A2235B">
        <w:rPr>
          <w:rFonts w:ascii="Times New Roman" w:eastAsia="Times New Roman" w:hAnsi="Times New Roman" w:cs="Times New Roman"/>
          <w:b/>
          <w:bCs/>
          <w:kern w:val="0"/>
          <w:sz w:val="24"/>
          <w:szCs w:val="24"/>
          <w:lang w:eastAsia="es-CO"/>
          <w14:ligatures w14:val="none"/>
        </w:rPr>
        <w:t>Metodología</w:t>
      </w:r>
      <w:r w:rsidRPr="00A2235B">
        <w:rPr>
          <w:rFonts w:ascii="Times New Roman" w:eastAsia="Times New Roman" w:hAnsi="Times New Roman" w:cs="Times New Roman"/>
          <w:kern w:val="0"/>
          <w:sz w:val="24"/>
          <w:szCs w:val="24"/>
          <w:lang w:eastAsia="es-CO"/>
          <w14:ligatures w14:val="none"/>
        </w:rPr>
        <w:t xml:space="preserve"> </w:t>
      </w:r>
    </w:p>
    <w:p w14:paraId="45860F3D" w14:textId="77777777" w:rsidR="008E1DDB" w:rsidRPr="00A2235B" w:rsidRDefault="008E1DDB" w:rsidP="008E1DDB">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A2235B">
        <w:rPr>
          <w:rFonts w:ascii="Times New Roman" w:eastAsia="Times New Roman" w:hAnsi="Times New Roman" w:cs="Times New Roman"/>
          <w:b/>
          <w:bCs/>
          <w:kern w:val="0"/>
          <w:sz w:val="24"/>
          <w:szCs w:val="24"/>
          <w:lang w:eastAsia="es-CO"/>
          <w14:ligatures w14:val="none"/>
        </w:rPr>
        <w:t>Contexto institucional de CAF (2021–2026)</w:t>
      </w:r>
      <w:r w:rsidRPr="00A2235B">
        <w:rPr>
          <w:rFonts w:ascii="Times New Roman" w:eastAsia="Times New Roman" w:hAnsi="Times New Roman" w:cs="Times New Roman"/>
          <w:kern w:val="0"/>
          <w:sz w:val="24"/>
          <w:szCs w:val="24"/>
          <w:lang w:eastAsia="es-CO"/>
          <w14:ligatures w14:val="none"/>
        </w:rPr>
        <w:t xml:space="preserve"> </w:t>
      </w:r>
      <w:r w:rsidRPr="00A2235B">
        <w:rPr>
          <w:rFonts w:ascii="Times New Roman" w:eastAsia="Times New Roman" w:hAnsi="Times New Roman" w:cs="Times New Roman"/>
          <w:i/>
          <w:iCs/>
          <w:kern w:val="0"/>
          <w:sz w:val="24"/>
          <w:szCs w:val="24"/>
          <w:lang w:eastAsia="es-CO"/>
          <w14:ligatures w14:val="none"/>
        </w:rPr>
        <w:t>(Figura 1)</w:t>
      </w:r>
      <w:r w:rsidRPr="00A2235B">
        <w:rPr>
          <w:rFonts w:ascii="Times New Roman" w:eastAsia="Times New Roman" w:hAnsi="Times New Roman" w:cs="Times New Roman"/>
          <w:kern w:val="0"/>
          <w:sz w:val="24"/>
          <w:szCs w:val="24"/>
          <w:lang w:eastAsia="es-CO"/>
          <w14:ligatures w14:val="none"/>
        </w:rPr>
        <w:t xml:space="preserve"> </w:t>
      </w:r>
    </w:p>
    <w:p w14:paraId="430361F0" w14:textId="77777777" w:rsidR="008E1DDB" w:rsidRPr="00A2235B" w:rsidRDefault="008E1DDB" w:rsidP="008E1DDB">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A2235B">
        <w:rPr>
          <w:rFonts w:ascii="Times New Roman" w:eastAsia="Times New Roman" w:hAnsi="Times New Roman" w:cs="Times New Roman"/>
          <w:b/>
          <w:bCs/>
          <w:kern w:val="0"/>
          <w:sz w:val="24"/>
          <w:szCs w:val="24"/>
          <w:lang w:eastAsia="es-CO"/>
          <w14:ligatures w14:val="none"/>
        </w:rPr>
        <w:t>Análisis de educación</w:t>
      </w:r>
      <w:r w:rsidRPr="00A2235B">
        <w:rPr>
          <w:rFonts w:ascii="Times New Roman" w:eastAsia="Times New Roman" w:hAnsi="Times New Roman" w:cs="Times New Roman"/>
          <w:kern w:val="0"/>
          <w:sz w:val="24"/>
          <w:szCs w:val="24"/>
          <w:lang w:eastAsia="es-CO"/>
          <w14:ligatures w14:val="none"/>
        </w:rPr>
        <w:t xml:space="preserve"> </w:t>
      </w:r>
      <w:r w:rsidRPr="00A2235B">
        <w:rPr>
          <w:rFonts w:ascii="Times New Roman" w:eastAsia="Times New Roman" w:hAnsi="Times New Roman" w:cs="Times New Roman"/>
          <w:i/>
          <w:iCs/>
          <w:kern w:val="0"/>
          <w:sz w:val="24"/>
          <w:szCs w:val="24"/>
          <w:lang w:eastAsia="es-CO"/>
          <w14:ligatures w14:val="none"/>
        </w:rPr>
        <w:t>(Figura 2)</w:t>
      </w:r>
      <w:r w:rsidRPr="00A2235B">
        <w:rPr>
          <w:rFonts w:ascii="Times New Roman" w:eastAsia="Times New Roman" w:hAnsi="Times New Roman" w:cs="Times New Roman"/>
          <w:kern w:val="0"/>
          <w:sz w:val="24"/>
          <w:szCs w:val="24"/>
          <w:lang w:eastAsia="es-CO"/>
          <w14:ligatures w14:val="none"/>
        </w:rPr>
        <w:t xml:space="preserve"> </w:t>
      </w:r>
    </w:p>
    <w:p w14:paraId="73D118AA" w14:textId="77777777" w:rsidR="008E1DDB" w:rsidRPr="00A2235B" w:rsidRDefault="008E1DDB" w:rsidP="008E1DDB">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A2235B">
        <w:rPr>
          <w:rFonts w:ascii="Times New Roman" w:eastAsia="Times New Roman" w:hAnsi="Times New Roman" w:cs="Times New Roman"/>
          <w:b/>
          <w:bCs/>
          <w:kern w:val="0"/>
          <w:sz w:val="24"/>
          <w:szCs w:val="24"/>
          <w:lang w:eastAsia="es-CO"/>
          <w14:ligatures w14:val="none"/>
        </w:rPr>
        <w:t>Análisis de educación superior</w:t>
      </w:r>
      <w:r w:rsidRPr="00A2235B">
        <w:rPr>
          <w:rFonts w:ascii="Times New Roman" w:eastAsia="Times New Roman" w:hAnsi="Times New Roman" w:cs="Times New Roman"/>
          <w:kern w:val="0"/>
          <w:sz w:val="24"/>
          <w:szCs w:val="24"/>
          <w:lang w:eastAsia="es-CO"/>
          <w14:ligatures w14:val="none"/>
        </w:rPr>
        <w:t xml:space="preserve"> </w:t>
      </w:r>
      <w:r w:rsidRPr="00A2235B">
        <w:rPr>
          <w:rFonts w:ascii="Times New Roman" w:eastAsia="Times New Roman" w:hAnsi="Times New Roman" w:cs="Times New Roman"/>
          <w:i/>
          <w:iCs/>
          <w:kern w:val="0"/>
          <w:sz w:val="24"/>
          <w:szCs w:val="24"/>
          <w:lang w:eastAsia="es-CO"/>
          <w14:ligatures w14:val="none"/>
        </w:rPr>
        <w:t>(Figura 3)</w:t>
      </w:r>
      <w:r w:rsidRPr="00A2235B">
        <w:rPr>
          <w:rFonts w:ascii="Times New Roman" w:eastAsia="Times New Roman" w:hAnsi="Times New Roman" w:cs="Times New Roman"/>
          <w:kern w:val="0"/>
          <w:sz w:val="24"/>
          <w:szCs w:val="24"/>
          <w:lang w:eastAsia="es-CO"/>
          <w14:ligatures w14:val="none"/>
        </w:rPr>
        <w:t xml:space="preserve"> </w:t>
      </w:r>
    </w:p>
    <w:p w14:paraId="37AC21DA" w14:textId="77777777" w:rsidR="008E1DDB" w:rsidRPr="00A2235B" w:rsidRDefault="008E1DDB" w:rsidP="008E1DDB">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A2235B">
        <w:rPr>
          <w:rFonts w:ascii="Times New Roman" w:eastAsia="Times New Roman" w:hAnsi="Times New Roman" w:cs="Times New Roman"/>
          <w:b/>
          <w:bCs/>
          <w:kern w:val="0"/>
          <w:sz w:val="24"/>
          <w:szCs w:val="24"/>
          <w:lang w:eastAsia="es-CO"/>
          <w14:ligatures w14:val="none"/>
        </w:rPr>
        <w:t>Análisis de ciencia, tecnología e innovación</w:t>
      </w:r>
      <w:r w:rsidRPr="00A2235B">
        <w:rPr>
          <w:rFonts w:ascii="Times New Roman" w:eastAsia="Times New Roman" w:hAnsi="Times New Roman" w:cs="Times New Roman"/>
          <w:kern w:val="0"/>
          <w:sz w:val="24"/>
          <w:szCs w:val="24"/>
          <w:lang w:eastAsia="es-CO"/>
          <w14:ligatures w14:val="none"/>
        </w:rPr>
        <w:t xml:space="preserve"> </w:t>
      </w:r>
    </w:p>
    <w:p w14:paraId="619B77D8" w14:textId="77777777" w:rsidR="008E1DDB" w:rsidRPr="00A2235B" w:rsidRDefault="008E1DDB" w:rsidP="008E1DDB">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A2235B">
        <w:rPr>
          <w:rFonts w:ascii="Times New Roman" w:eastAsia="Times New Roman" w:hAnsi="Times New Roman" w:cs="Times New Roman"/>
          <w:b/>
          <w:bCs/>
          <w:kern w:val="0"/>
          <w:sz w:val="24"/>
          <w:szCs w:val="24"/>
          <w:lang w:eastAsia="es-CO"/>
          <w14:ligatures w14:val="none"/>
        </w:rPr>
        <w:t>Fortalezas y desafíos</w:t>
      </w:r>
      <w:r w:rsidRPr="00A2235B">
        <w:rPr>
          <w:rFonts w:ascii="Times New Roman" w:eastAsia="Times New Roman" w:hAnsi="Times New Roman" w:cs="Times New Roman"/>
          <w:kern w:val="0"/>
          <w:sz w:val="24"/>
          <w:szCs w:val="24"/>
          <w:lang w:eastAsia="es-CO"/>
          <w14:ligatures w14:val="none"/>
        </w:rPr>
        <w:t xml:space="preserve"> </w:t>
      </w:r>
      <w:r w:rsidRPr="00A2235B">
        <w:rPr>
          <w:rFonts w:ascii="Times New Roman" w:eastAsia="Times New Roman" w:hAnsi="Times New Roman" w:cs="Times New Roman"/>
          <w:i/>
          <w:iCs/>
          <w:kern w:val="0"/>
          <w:sz w:val="24"/>
          <w:szCs w:val="24"/>
          <w:lang w:eastAsia="es-CO"/>
          <w14:ligatures w14:val="none"/>
        </w:rPr>
        <w:t>(Figura 4 + Matriz DOFA)</w:t>
      </w:r>
      <w:r w:rsidRPr="00A2235B">
        <w:rPr>
          <w:rFonts w:ascii="Times New Roman" w:eastAsia="Times New Roman" w:hAnsi="Times New Roman" w:cs="Times New Roman"/>
          <w:kern w:val="0"/>
          <w:sz w:val="24"/>
          <w:szCs w:val="24"/>
          <w:lang w:eastAsia="es-CO"/>
          <w14:ligatures w14:val="none"/>
        </w:rPr>
        <w:t xml:space="preserve"> </w:t>
      </w:r>
    </w:p>
    <w:p w14:paraId="24517688" w14:textId="77777777" w:rsidR="008E1DDB" w:rsidRPr="00A2235B" w:rsidRDefault="008E1DDB" w:rsidP="008E1DDB">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A2235B">
        <w:rPr>
          <w:rFonts w:ascii="Times New Roman" w:eastAsia="Times New Roman" w:hAnsi="Times New Roman" w:cs="Times New Roman"/>
          <w:b/>
          <w:bCs/>
          <w:kern w:val="0"/>
          <w:sz w:val="24"/>
          <w:szCs w:val="24"/>
          <w:lang w:eastAsia="es-CO"/>
          <w14:ligatures w14:val="none"/>
        </w:rPr>
        <w:t>Recomendaciones estratégicas</w:t>
      </w:r>
      <w:r w:rsidRPr="00A2235B">
        <w:rPr>
          <w:rFonts w:ascii="Times New Roman" w:eastAsia="Times New Roman" w:hAnsi="Times New Roman" w:cs="Times New Roman"/>
          <w:kern w:val="0"/>
          <w:sz w:val="24"/>
          <w:szCs w:val="24"/>
          <w:lang w:eastAsia="es-CO"/>
          <w14:ligatures w14:val="none"/>
        </w:rPr>
        <w:t xml:space="preserve"> </w:t>
      </w:r>
    </w:p>
    <w:p w14:paraId="643D09CF" w14:textId="77777777" w:rsidR="008E1DDB" w:rsidRPr="00A2235B" w:rsidRDefault="008E1DDB" w:rsidP="008E1DDB">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A2235B">
        <w:rPr>
          <w:rFonts w:ascii="Times New Roman" w:eastAsia="Times New Roman" w:hAnsi="Times New Roman" w:cs="Times New Roman"/>
          <w:b/>
          <w:bCs/>
          <w:kern w:val="0"/>
          <w:sz w:val="24"/>
          <w:szCs w:val="24"/>
          <w:lang w:eastAsia="es-CO"/>
          <w14:ligatures w14:val="none"/>
        </w:rPr>
        <w:t>Perspectivas hacia 2030</w:t>
      </w:r>
      <w:r w:rsidRPr="00A2235B">
        <w:rPr>
          <w:rFonts w:ascii="Times New Roman" w:eastAsia="Times New Roman" w:hAnsi="Times New Roman" w:cs="Times New Roman"/>
          <w:kern w:val="0"/>
          <w:sz w:val="24"/>
          <w:szCs w:val="24"/>
          <w:lang w:eastAsia="es-CO"/>
          <w14:ligatures w14:val="none"/>
        </w:rPr>
        <w:t xml:space="preserve"> </w:t>
      </w:r>
      <w:r w:rsidRPr="00A2235B">
        <w:rPr>
          <w:rFonts w:ascii="Times New Roman" w:eastAsia="Times New Roman" w:hAnsi="Times New Roman" w:cs="Times New Roman"/>
          <w:i/>
          <w:iCs/>
          <w:kern w:val="0"/>
          <w:sz w:val="24"/>
          <w:szCs w:val="24"/>
          <w:lang w:eastAsia="es-CO"/>
          <w14:ligatures w14:val="none"/>
        </w:rPr>
        <w:t>(Figura 5)</w:t>
      </w:r>
      <w:r w:rsidRPr="00A2235B">
        <w:rPr>
          <w:rFonts w:ascii="Times New Roman" w:eastAsia="Times New Roman" w:hAnsi="Times New Roman" w:cs="Times New Roman"/>
          <w:kern w:val="0"/>
          <w:sz w:val="24"/>
          <w:szCs w:val="24"/>
          <w:lang w:eastAsia="es-CO"/>
          <w14:ligatures w14:val="none"/>
        </w:rPr>
        <w:t xml:space="preserve"> </w:t>
      </w:r>
    </w:p>
    <w:p w14:paraId="14AE3234" w14:textId="77777777" w:rsidR="008E1DDB" w:rsidRPr="00A2235B" w:rsidRDefault="008E1DDB" w:rsidP="008E1DDB">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A2235B">
        <w:rPr>
          <w:rFonts w:ascii="Times New Roman" w:eastAsia="Times New Roman" w:hAnsi="Times New Roman" w:cs="Times New Roman"/>
          <w:b/>
          <w:bCs/>
          <w:kern w:val="0"/>
          <w:sz w:val="24"/>
          <w:szCs w:val="24"/>
          <w:lang w:eastAsia="es-CO"/>
          <w14:ligatures w14:val="none"/>
        </w:rPr>
        <w:t>Conclusiones</w:t>
      </w:r>
      <w:r w:rsidRPr="00A2235B">
        <w:rPr>
          <w:rFonts w:ascii="Times New Roman" w:eastAsia="Times New Roman" w:hAnsi="Times New Roman" w:cs="Times New Roman"/>
          <w:kern w:val="0"/>
          <w:sz w:val="24"/>
          <w:szCs w:val="24"/>
          <w:lang w:eastAsia="es-CO"/>
          <w14:ligatures w14:val="none"/>
        </w:rPr>
        <w:t xml:space="preserve"> </w:t>
      </w:r>
    </w:p>
    <w:p w14:paraId="79C8ACDC" w14:textId="77777777" w:rsidR="008E1DDB" w:rsidRPr="00A2235B" w:rsidRDefault="008E1DDB" w:rsidP="008E1DDB">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A2235B">
        <w:rPr>
          <w:rFonts w:ascii="Times New Roman" w:eastAsia="Times New Roman" w:hAnsi="Times New Roman" w:cs="Times New Roman"/>
          <w:b/>
          <w:bCs/>
          <w:kern w:val="0"/>
          <w:sz w:val="24"/>
          <w:szCs w:val="24"/>
          <w:lang w:eastAsia="es-CO"/>
          <w14:ligatures w14:val="none"/>
        </w:rPr>
        <w:t>Referencias bibliográficas (APA 7)</w:t>
      </w:r>
      <w:r w:rsidRPr="00A2235B">
        <w:rPr>
          <w:rFonts w:ascii="Times New Roman" w:eastAsia="Times New Roman" w:hAnsi="Times New Roman" w:cs="Times New Roman"/>
          <w:kern w:val="0"/>
          <w:sz w:val="24"/>
          <w:szCs w:val="24"/>
          <w:lang w:eastAsia="es-CO"/>
          <w14:ligatures w14:val="none"/>
        </w:rPr>
        <w:t xml:space="preserve"> </w:t>
      </w:r>
    </w:p>
    <w:p w14:paraId="6550F644" w14:textId="77777777" w:rsidR="008E1DDB" w:rsidRPr="0083054A" w:rsidRDefault="008E1DDB" w:rsidP="008E1DDB">
      <w:pPr>
        <w:spacing w:before="100" w:beforeAutospacing="1" w:after="100" w:afterAutospacing="1" w:line="240" w:lineRule="auto"/>
        <w:outlineLvl w:val="2"/>
        <w:rPr>
          <w:rFonts w:ascii="Times New Roman" w:eastAsia="Times New Roman" w:hAnsi="Times New Roman" w:cs="Times New Roman"/>
          <w:b/>
          <w:bCs/>
          <w:kern w:val="0"/>
          <w:sz w:val="27"/>
          <w:szCs w:val="27"/>
          <w:lang w:eastAsia="es-CO"/>
          <w14:ligatures w14:val="none"/>
        </w:rPr>
      </w:pPr>
      <w:r w:rsidRPr="0083054A">
        <w:rPr>
          <w:rFonts w:ascii="Times New Roman" w:eastAsia="Times New Roman" w:hAnsi="Times New Roman" w:cs="Times New Roman"/>
          <w:b/>
          <w:bCs/>
          <w:kern w:val="0"/>
          <w:sz w:val="27"/>
          <w:szCs w:val="27"/>
          <w:lang w:eastAsia="es-CO"/>
          <w14:ligatures w14:val="none"/>
        </w:rPr>
        <w:t>Introducción</w:t>
      </w:r>
    </w:p>
    <w:p w14:paraId="6E048157" w14:textId="77777777" w:rsidR="008E1DDB" w:rsidRPr="0083054A"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3054A">
        <w:rPr>
          <w:rFonts w:ascii="Times New Roman" w:eastAsia="Times New Roman" w:hAnsi="Times New Roman" w:cs="Times New Roman"/>
          <w:kern w:val="0"/>
          <w:sz w:val="24"/>
          <w:szCs w:val="24"/>
          <w:lang w:eastAsia="es-CO"/>
          <w14:ligatures w14:val="none"/>
        </w:rPr>
        <w:t xml:space="preserve">Durante los últimos cinco años, el Banco de Desarrollo de América Latina y el Caribe (CAF) ha consolidado una agenda orientada a fortalecer el desarrollo sostenible de la región mediante inversiones, cooperación técnica y generación de conocimiento en sectores estratégicos. Entre ellos, </w:t>
      </w:r>
      <w:r w:rsidRPr="001A27EB">
        <w:rPr>
          <w:rFonts w:ascii="Times New Roman" w:eastAsia="Times New Roman" w:hAnsi="Times New Roman" w:cs="Times New Roman"/>
          <w:kern w:val="0"/>
          <w:sz w:val="24"/>
          <w:szCs w:val="24"/>
          <w:highlight w:val="yellow"/>
          <w:lang w:eastAsia="es-CO"/>
          <w14:ligatures w14:val="none"/>
        </w:rPr>
        <w:t>la educación, la educación superior, la ciencia, la tecnología y la innovación (CTI) ocupan un lugar prioritario debido a su incidencia directa sobre la productividad, la equidad social y la competitividad de los países latinoamericanos y caribeños.</w:t>
      </w:r>
    </w:p>
    <w:p w14:paraId="3DE2E35D" w14:textId="77777777" w:rsidR="008E1DDB" w:rsidRPr="0083054A"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3054A">
        <w:rPr>
          <w:rFonts w:ascii="Times New Roman" w:eastAsia="Times New Roman" w:hAnsi="Times New Roman" w:cs="Times New Roman"/>
          <w:kern w:val="0"/>
          <w:sz w:val="24"/>
          <w:szCs w:val="24"/>
          <w:lang w:eastAsia="es-CO"/>
          <w14:ligatures w14:val="none"/>
        </w:rPr>
        <w:t xml:space="preserve">La pandemia por COVID-19 evidenció las profundas brechas existentes en materia educativa y tecnológica, acelerando la necesidad de fortalecer las capacidades institucionales de los sistemas educativos, promover la transformación digital y ampliar el acceso a la educación superior de calidad. En este contexto, CAF redefinió parte de sus prioridades institucionales, incrementando el </w:t>
      </w:r>
      <w:r w:rsidRPr="00A34B24">
        <w:rPr>
          <w:rFonts w:ascii="Times New Roman" w:eastAsia="Times New Roman" w:hAnsi="Times New Roman" w:cs="Times New Roman"/>
          <w:kern w:val="0"/>
          <w:sz w:val="24"/>
          <w:szCs w:val="24"/>
          <w:highlight w:val="yellow"/>
          <w:lang w:eastAsia="es-CO"/>
          <w14:ligatures w14:val="none"/>
        </w:rPr>
        <w:t>financiamiento de proyectos relacionados con la digitalización educativa, la formación del capital humano, la innovación pública y el fortalecimiento de los ecosistemas nacionales de ciencia y tecnología.</w:t>
      </w:r>
    </w:p>
    <w:p w14:paraId="44392AE5" w14:textId="77777777" w:rsidR="008E1DDB" w:rsidRPr="0083054A"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3054A">
        <w:rPr>
          <w:rFonts w:ascii="Times New Roman" w:eastAsia="Times New Roman" w:hAnsi="Times New Roman" w:cs="Times New Roman"/>
          <w:kern w:val="0"/>
          <w:sz w:val="24"/>
          <w:szCs w:val="24"/>
          <w:lang w:eastAsia="es-CO"/>
          <w14:ligatures w14:val="none"/>
        </w:rPr>
        <w:t>El presente documento desarrolla un análisis crítico y constructivo de las principales estrategias, programas y acciones implementadas por CAF entre 2021 y 2026 en estos sectores. Más allá de describir las iniciativas ejecutadas, se examina su coherencia con las necesidades regionales, sus fortalezas, limitaciones y oportunidades de mejora, con el propósito de aportar recomendaciones que contribuyan a maximizar el impacto de las futuras intervenciones del Banco.</w:t>
      </w:r>
    </w:p>
    <w:p w14:paraId="602F714D" w14:textId="77777777" w:rsidR="008E1DDB" w:rsidRPr="00062382" w:rsidRDefault="008E1DDB" w:rsidP="008E1DDB">
      <w:pPr>
        <w:spacing w:before="100" w:beforeAutospacing="1" w:after="100" w:afterAutospacing="1" w:line="240" w:lineRule="auto"/>
        <w:outlineLvl w:val="1"/>
        <w:rPr>
          <w:rFonts w:ascii="Times New Roman" w:eastAsia="Times New Roman" w:hAnsi="Times New Roman" w:cs="Times New Roman"/>
          <w:b/>
          <w:bCs/>
          <w:kern w:val="0"/>
          <w:sz w:val="28"/>
          <w:szCs w:val="28"/>
          <w:lang w:eastAsia="es-CO"/>
          <w14:ligatures w14:val="none"/>
        </w:rPr>
      </w:pPr>
      <w:r w:rsidRPr="00062382">
        <w:rPr>
          <w:rFonts w:ascii="Times New Roman" w:eastAsia="Times New Roman" w:hAnsi="Times New Roman" w:cs="Times New Roman"/>
          <w:b/>
          <w:bCs/>
          <w:kern w:val="0"/>
          <w:sz w:val="28"/>
          <w:szCs w:val="28"/>
          <w:lang w:eastAsia="es-CO"/>
          <w14:ligatures w14:val="none"/>
        </w:rPr>
        <w:lastRenderedPageBreak/>
        <w:t>Metodología</w:t>
      </w:r>
    </w:p>
    <w:p w14:paraId="171A7636" w14:textId="77777777" w:rsidR="008E1DDB" w:rsidRPr="0083054A"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3054A">
        <w:rPr>
          <w:rFonts w:ascii="Times New Roman" w:eastAsia="Times New Roman" w:hAnsi="Times New Roman" w:cs="Times New Roman"/>
          <w:kern w:val="0"/>
          <w:sz w:val="24"/>
          <w:szCs w:val="24"/>
          <w:lang w:eastAsia="es-CO"/>
          <w14:ligatures w14:val="none"/>
        </w:rPr>
        <w:t xml:space="preserve">El análisis se fundamenta en una revisión documental de carácter cualitativo, apoyada principalmente en publicaciones oficiales del Banco de Desarrollo de América Latina y el Caribe (CAF), incluyendo documentos estratégicos institucionales, reportes de gestión, documentos sectoriales, estrategias de educación, informes sobre innovación y publicaciones técnicas disponibles en </w:t>
      </w:r>
      <w:proofErr w:type="spellStart"/>
      <w:r w:rsidRPr="0083054A">
        <w:rPr>
          <w:rFonts w:ascii="Times New Roman" w:eastAsia="Times New Roman" w:hAnsi="Times New Roman" w:cs="Times New Roman"/>
          <w:kern w:val="0"/>
          <w:sz w:val="24"/>
          <w:szCs w:val="24"/>
          <w:lang w:eastAsia="es-CO"/>
          <w14:ligatures w14:val="none"/>
        </w:rPr>
        <w:t>Scioteca</w:t>
      </w:r>
      <w:proofErr w:type="spellEnd"/>
      <w:r w:rsidRPr="0083054A">
        <w:rPr>
          <w:rFonts w:ascii="Times New Roman" w:eastAsia="Times New Roman" w:hAnsi="Times New Roman" w:cs="Times New Roman"/>
          <w:kern w:val="0"/>
          <w:sz w:val="24"/>
          <w:szCs w:val="24"/>
          <w:lang w:eastAsia="es-CO"/>
          <w14:ligatures w14:val="none"/>
        </w:rPr>
        <w:t xml:space="preserve"> CAF. Complementariamente, se consideran informes de organismos internacionales como la UNESCO, CEPAL, OCDE y el Banco Mundial, con el fin de contextualizar las tendencias regionales y contrastar las acciones desarrolladas por CAF.</w:t>
      </w:r>
    </w:p>
    <w:p w14:paraId="6D35A3EC" w14:textId="77777777" w:rsidR="008E1DDB" w:rsidRPr="0083054A"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3054A">
        <w:rPr>
          <w:rFonts w:ascii="Times New Roman" w:eastAsia="Times New Roman" w:hAnsi="Times New Roman" w:cs="Times New Roman"/>
          <w:kern w:val="0"/>
          <w:sz w:val="24"/>
          <w:szCs w:val="24"/>
          <w:lang w:eastAsia="es-CO"/>
          <w14:ligatures w14:val="none"/>
        </w:rPr>
        <w:t>La evaluación se estructura a partir de cinco criterios analíticos:</w:t>
      </w:r>
    </w:p>
    <w:p w14:paraId="3DDE7851" w14:textId="77777777" w:rsidR="008E1DDB" w:rsidRPr="0083054A" w:rsidRDefault="008E1DDB" w:rsidP="008E1DDB">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3054A">
        <w:rPr>
          <w:rFonts w:ascii="Times New Roman" w:eastAsia="Times New Roman" w:hAnsi="Times New Roman" w:cs="Times New Roman"/>
          <w:b/>
          <w:bCs/>
          <w:kern w:val="0"/>
          <w:sz w:val="24"/>
          <w:szCs w:val="24"/>
          <w:lang w:eastAsia="es-CO"/>
          <w14:ligatures w14:val="none"/>
        </w:rPr>
        <w:t>Pertinencia</w:t>
      </w:r>
      <w:r w:rsidRPr="0083054A">
        <w:rPr>
          <w:rFonts w:ascii="Times New Roman" w:eastAsia="Times New Roman" w:hAnsi="Times New Roman" w:cs="Times New Roman"/>
          <w:kern w:val="0"/>
          <w:sz w:val="24"/>
          <w:szCs w:val="24"/>
          <w:lang w:eastAsia="es-CO"/>
          <w14:ligatures w14:val="none"/>
        </w:rPr>
        <w:t xml:space="preserve">, entendida como el grado de correspondencia entre las intervenciones de CAF y las necesidades de desarrollo de los países de América Latina y el Caribe. </w:t>
      </w:r>
    </w:p>
    <w:p w14:paraId="1ABA7E57" w14:textId="77777777" w:rsidR="008E1DDB" w:rsidRPr="0083054A" w:rsidRDefault="008E1DDB" w:rsidP="008E1DDB">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3054A">
        <w:rPr>
          <w:rFonts w:ascii="Times New Roman" w:eastAsia="Times New Roman" w:hAnsi="Times New Roman" w:cs="Times New Roman"/>
          <w:b/>
          <w:bCs/>
          <w:kern w:val="0"/>
          <w:sz w:val="24"/>
          <w:szCs w:val="24"/>
          <w:lang w:eastAsia="es-CO"/>
          <w14:ligatures w14:val="none"/>
        </w:rPr>
        <w:t>Coherencia</w:t>
      </w:r>
      <w:r w:rsidRPr="0083054A">
        <w:rPr>
          <w:rFonts w:ascii="Times New Roman" w:eastAsia="Times New Roman" w:hAnsi="Times New Roman" w:cs="Times New Roman"/>
          <w:kern w:val="0"/>
          <w:sz w:val="24"/>
          <w:szCs w:val="24"/>
          <w:lang w:eastAsia="es-CO"/>
          <w14:ligatures w14:val="none"/>
        </w:rPr>
        <w:t xml:space="preserve">, referida a la articulación entre las estrategias institucionales, los programas financiados y los Objetivos de Desarrollo Sostenible, especialmente el ODS 4 (Educación de Calidad) y el ODS 9 (Industria, Innovación e Infraestructura). </w:t>
      </w:r>
    </w:p>
    <w:p w14:paraId="7F8D8AF2" w14:textId="77777777" w:rsidR="008E1DDB" w:rsidRPr="0083054A" w:rsidRDefault="008E1DDB" w:rsidP="008E1DDB">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3054A">
        <w:rPr>
          <w:rFonts w:ascii="Times New Roman" w:eastAsia="Times New Roman" w:hAnsi="Times New Roman" w:cs="Times New Roman"/>
          <w:b/>
          <w:bCs/>
          <w:kern w:val="0"/>
          <w:sz w:val="24"/>
          <w:szCs w:val="24"/>
          <w:lang w:eastAsia="es-CO"/>
          <w14:ligatures w14:val="none"/>
        </w:rPr>
        <w:t>Eficacia</w:t>
      </w:r>
      <w:r w:rsidRPr="0083054A">
        <w:rPr>
          <w:rFonts w:ascii="Times New Roman" w:eastAsia="Times New Roman" w:hAnsi="Times New Roman" w:cs="Times New Roman"/>
          <w:kern w:val="0"/>
          <w:sz w:val="24"/>
          <w:szCs w:val="24"/>
          <w:lang w:eastAsia="es-CO"/>
          <w14:ligatures w14:val="none"/>
        </w:rPr>
        <w:t xml:space="preserve">, valorando la capacidad de las iniciativas para generar resultados esperados en fortalecimiento institucional, ampliación de capacidades y transformación de los sistemas educativos. </w:t>
      </w:r>
    </w:p>
    <w:p w14:paraId="741860B8" w14:textId="77777777" w:rsidR="008E1DDB" w:rsidRPr="0083054A" w:rsidRDefault="008E1DDB" w:rsidP="008E1DDB">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3054A">
        <w:rPr>
          <w:rFonts w:ascii="Times New Roman" w:eastAsia="Times New Roman" w:hAnsi="Times New Roman" w:cs="Times New Roman"/>
          <w:b/>
          <w:bCs/>
          <w:kern w:val="0"/>
          <w:sz w:val="24"/>
          <w:szCs w:val="24"/>
          <w:lang w:eastAsia="es-CO"/>
          <w14:ligatures w14:val="none"/>
        </w:rPr>
        <w:t>Sostenibilidad</w:t>
      </w:r>
      <w:r w:rsidRPr="0083054A">
        <w:rPr>
          <w:rFonts w:ascii="Times New Roman" w:eastAsia="Times New Roman" w:hAnsi="Times New Roman" w:cs="Times New Roman"/>
          <w:kern w:val="0"/>
          <w:sz w:val="24"/>
          <w:szCs w:val="24"/>
          <w:lang w:eastAsia="es-CO"/>
          <w14:ligatures w14:val="none"/>
        </w:rPr>
        <w:t xml:space="preserve">, analizando las posibilidades de permanencia de los resultados una vez finalizado el apoyo financiero y técnico de CAF. </w:t>
      </w:r>
    </w:p>
    <w:p w14:paraId="664367F4" w14:textId="77777777" w:rsidR="008E1DDB" w:rsidRPr="0083054A" w:rsidRDefault="008E1DDB" w:rsidP="008E1DDB">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3054A">
        <w:rPr>
          <w:rFonts w:ascii="Times New Roman" w:eastAsia="Times New Roman" w:hAnsi="Times New Roman" w:cs="Times New Roman"/>
          <w:b/>
          <w:bCs/>
          <w:kern w:val="0"/>
          <w:sz w:val="24"/>
          <w:szCs w:val="24"/>
          <w:lang w:eastAsia="es-CO"/>
          <w14:ligatures w14:val="none"/>
        </w:rPr>
        <w:t>Impacto regional</w:t>
      </w:r>
      <w:r w:rsidRPr="0083054A">
        <w:rPr>
          <w:rFonts w:ascii="Times New Roman" w:eastAsia="Times New Roman" w:hAnsi="Times New Roman" w:cs="Times New Roman"/>
          <w:kern w:val="0"/>
          <w:sz w:val="24"/>
          <w:szCs w:val="24"/>
          <w:lang w:eastAsia="es-CO"/>
          <w14:ligatures w14:val="none"/>
        </w:rPr>
        <w:t xml:space="preserve">, considerando el potencial de las intervenciones para reducir brechas territoriales, promover la cooperación regional y fortalecer la integración latinoamericana. </w:t>
      </w:r>
    </w:p>
    <w:p w14:paraId="42F7F83F" w14:textId="77777777" w:rsidR="008E1DDB" w:rsidRPr="0083054A"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3054A">
        <w:rPr>
          <w:rFonts w:ascii="Times New Roman" w:eastAsia="Times New Roman" w:hAnsi="Times New Roman" w:cs="Times New Roman"/>
          <w:kern w:val="0"/>
          <w:sz w:val="24"/>
          <w:szCs w:val="24"/>
          <w:lang w:eastAsia="es-CO"/>
          <w14:ligatures w14:val="none"/>
        </w:rPr>
        <w:t>Este enfoque permite desarrollar una valoración equilibrada, reconociendo tanto los avances alcanzados como los desafíos que aún enfrenta la institución para incrementar la efectividad de sus intervenciones.</w:t>
      </w:r>
    </w:p>
    <w:p w14:paraId="3DFB6559" w14:textId="77777777" w:rsidR="008E1DDB" w:rsidRPr="00437C12" w:rsidRDefault="008E1DDB" w:rsidP="008E1DDB">
      <w:pPr>
        <w:spacing w:before="100" w:beforeAutospacing="1" w:after="100" w:afterAutospacing="1" w:line="240" w:lineRule="auto"/>
        <w:outlineLvl w:val="1"/>
        <w:rPr>
          <w:rFonts w:ascii="Times New Roman" w:eastAsia="Times New Roman" w:hAnsi="Times New Roman" w:cs="Times New Roman"/>
          <w:b/>
          <w:bCs/>
          <w:kern w:val="0"/>
          <w:sz w:val="28"/>
          <w:szCs w:val="28"/>
          <w:lang w:eastAsia="es-CO"/>
          <w14:ligatures w14:val="none"/>
        </w:rPr>
      </w:pPr>
      <w:r w:rsidRPr="00437C12">
        <w:rPr>
          <w:rFonts w:ascii="Times New Roman" w:eastAsia="Times New Roman" w:hAnsi="Times New Roman" w:cs="Times New Roman"/>
          <w:b/>
          <w:bCs/>
          <w:kern w:val="0"/>
          <w:sz w:val="28"/>
          <w:szCs w:val="28"/>
          <w:lang w:eastAsia="es-CO"/>
          <w14:ligatures w14:val="none"/>
        </w:rPr>
        <w:t>Contexto institucional: la evolución de la estrategia de CAF (2021–2026)</w:t>
      </w:r>
    </w:p>
    <w:p w14:paraId="706BE6B7" w14:textId="77777777" w:rsidR="008E1DDB" w:rsidRPr="0083054A"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3054A">
        <w:rPr>
          <w:rFonts w:ascii="Times New Roman" w:eastAsia="Times New Roman" w:hAnsi="Times New Roman" w:cs="Times New Roman"/>
          <w:kern w:val="0"/>
          <w:sz w:val="24"/>
          <w:szCs w:val="24"/>
          <w:lang w:eastAsia="es-CO"/>
          <w14:ligatures w14:val="none"/>
        </w:rPr>
        <w:t xml:space="preserve">Durante el periodo analizado, CAF fortaleció significativamente su posicionamiento como banco de desarrollo regional. La ampliación de su membresía, el incremento de su capacidad financiera y </w:t>
      </w:r>
      <w:r w:rsidRPr="00356203">
        <w:rPr>
          <w:rFonts w:ascii="Times New Roman" w:eastAsia="Times New Roman" w:hAnsi="Times New Roman" w:cs="Times New Roman"/>
          <w:kern w:val="0"/>
          <w:sz w:val="24"/>
          <w:szCs w:val="24"/>
          <w:highlight w:val="yellow"/>
          <w:lang w:eastAsia="es-CO"/>
          <w14:ligatures w14:val="none"/>
        </w:rPr>
        <w:t>la adopción de una visión estratégica centrada en el crecimiento verde, la inclusión social y la transformación productiva permitieron ampliar el alcance de sus operaciones en sectores sociales, particularmente en educación y conocimiento.</w:t>
      </w:r>
    </w:p>
    <w:p w14:paraId="767EDD15" w14:textId="77777777" w:rsidR="008E1DDB" w:rsidRPr="0083054A"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3054A">
        <w:rPr>
          <w:rFonts w:ascii="Times New Roman" w:eastAsia="Times New Roman" w:hAnsi="Times New Roman" w:cs="Times New Roman"/>
          <w:kern w:val="0"/>
          <w:sz w:val="24"/>
          <w:szCs w:val="24"/>
          <w:lang w:eastAsia="es-CO"/>
          <w14:ligatures w14:val="none"/>
        </w:rPr>
        <w:t>Uno de los cambios más relevantes fue la incorporación de la educación como un eje transversal del desarrollo sostenible, superando la visión tradicional que la concebía únicamente como un sector social. En los documentos estratégicos recientes, CAF reconoce explícitamente que el fortalecimiento del capital humano constituye un factor determinante para mejorar la productividad, impulsar la innovación y reducir las desigualdades estructurales que caracterizan a la región.</w:t>
      </w:r>
    </w:p>
    <w:p w14:paraId="7BF47054" w14:textId="77777777" w:rsidR="008E1DDB" w:rsidRPr="00C11E45" w:rsidRDefault="008E1DDB" w:rsidP="008E1DDB">
      <w:p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C11E45">
        <w:rPr>
          <w:rFonts w:ascii="Times New Roman" w:eastAsia="Times New Roman" w:hAnsi="Times New Roman" w:cs="Times New Roman"/>
          <w:kern w:val="0"/>
          <w:sz w:val="24"/>
          <w:szCs w:val="24"/>
          <w:highlight w:val="yellow"/>
          <w:lang w:eastAsia="es-CO"/>
          <w14:ligatures w14:val="none"/>
        </w:rPr>
        <w:lastRenderedPageBreak/>
        <w:t>La institución promovió una agenda centrada en cuatro grandes prioridades:</w:t>
      </w:r>
    </w:p>
    <w:p w14:paraId="6B863089" w14:textId="77777777" w:rsidR="008E1DDB" w:rsidRPr="00C11E45" w:rsidRDefault="008E1DDB" w:rsidP="008E1DDB">
      <w:pPr>
        <w:numPr>
          <w:ilvl w:val="0"/>
          <w:numId w:val="2"/>
        </w:num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C11E45">
        <w:rPr>
          <w:rFonts w:ascii="Times New Roman" w:eastAsia="Times New Roman" w:hAnsi="Times New Roman" w:cs="Times New Roman"/>
          <w:kern w:val="0"/>
          <w:sz w:val="24"/>
          <w:szCs w:val="24"/>
          <w:highlight w:val="yellow"/>
          <w:lang w:eastAsia="es-CO"/>
          <w14:ligatures w14:val="none"/>
        </w:rPr>
        <w:t xml:space="preserve">fortalecimiento de la calidad educativa; </w:t>
      </w:r>
    </w:p>
    <w:p w14:paraId="1600F8E0" w14:textId="77777777" w:rsidR="008E1DDB" w:rsidRPr="00C11E45" w:rsidRDefault="008E1DDB" w:rsidP="008E1DDB">
      <w:pPr>
        <w:numPr>
          <w:ilvl w:val="0"/>
          <w:numId w:val="2"/>
        </w:num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C11E45">
        <w:rPr>
          <w:rFonts w:ascii="Times New Roman" w:eastAsia="Times New Roman" w:hAnsi="Times New Roman" w:cs="Times New Roman"/>
          <w:kern w:val="0"/>
          <w:sz w:val="24"/>
          <w:szCs w:val="24"/>
          <w:highlight w:val="yellow"/>
          <w:lang w:eastAsia="es-CO"/>
          <w14:ligatures w14:val="none"/>
        </w:rPr>
        <w:t xml:space="preserve">transformación digital de los sistemas educativos; </w:t>
      </w:r>
    </w:p>
    <w:p w14:paraId="3E585BA7" w14:textId="77777777" w:rsidR="008E1DDB" w:rsidRPr="00C11E45" w:rsidRDefault="008E1DDB" w:rsidP="008E1DDB">
      <w:pPr>
        <w:numPr>
          <w:ilvl w:val="0"/>
          <w:numId w:val="2"/>
        </w:num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C11E45">
        <w:rPr>
          <w:rFonts w:ascii="Times New Roman" w:eastAsia="Times New Roman" w:hAnsi="Times New Roman" w:cs="Times New Roman"/>
          <w:kern w:val="0"/>
          <w:sz w:val="24"/>
          <w:szCs w:val="24"/>
          <w:highlight w:val="yellow"/>
          <w:lang w:eastAsia="es-CO"/>
          <w14:ligatures w14:val="none"/>
        </w:rPr>
        <w:t xml:space="preserve">desarrollo de capacidades científicas y tecnológicas; </w:t>
      </w:r>
    </w:p>
    <w:p w14:paraId="5EC0EAEF" w14:textId="77777777" w:rsidR="008E1DDB" w:rsidRPr="00C11E45" w:rsidRDefault="008E1DDB" w:rsidP="008E1DDB">
      <w:pPr>
        <w:numPr>
          <w:ilvl w:val="0"/>
          <w:numId w:val="2"/>
        </w:num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C11E45">
        <w:rPr>
          <w:rFonts w:ascii="Times New Roman" w:eastAsia="Times New Roman" w:hAnsi="Times New Roman" w:cs="Times New Roman"/>
          <w:kern w:val="0"/>
          <w:sz w:val="24"/>
          <w:szCs w:val="24"/>
          <w:highlight w:val="yellow"/>
          <w:lang w:eastAsia="es-CO"/>
          <w14:ligatures w14:val="none"/>
        </w:rPr>
        <w:t xml:space="preserve">impulso a la innovación como motor del desarrollo productivo. </w:t>
      </w:r>
    </w:p>
    <w:p w14:paraId="2A01C7CA" w14:textId="77777777" w:rsidR="008E1DDB" w:rsidRPr="0083054A"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3054A">
        <w:rPr>
          <w:rFonts w:ascii="Times New Roman" w:eastAsia="Times New Roman" w:hAnsi="Times New Roman" w:cs="Times New Roman"/>
          <w:kern w:val="0"/>
          <w:sz w:val="24"/>
          <w:szCs w:val="24"/>
          <w:lang w:eastAsia="es-CO"/>
          <w14:ligatures w14:val="none"/>
        </w:rPr>
        <w:t xml:space="preserve">Estas prioridades muestran una evolución importante respecto de etapas anteriores, cuando el financiamiento del Banco se concentraba principalmente en infraestructura física. En los últimos años se observa una </w:t>
      </w:r>
      <w:r w:rsidRPr="000F15AD">
        <w:rPr>
          <w:rFonts w:ascii="Times New Roman" w:eastAsia="Times New Roman" w:hAnsi="Times New Roman" w:cs="Times New Roman"/>
          <w:kern w:val="0"/>
          <w:sz w:val="24"/>
          <w:szCs w:val="24"/>
          <w:highlight w:val="yellow"/>
          <w:lang w:eastAsia="es-CO"/>
          <w14:ligatures w14:val="none"/>
        </w:rPr>
        <w:t>creciente orientación hacia la infraestructura del conocimiento, el fortalecimiento institucional y la generación de capacidades para la economía digital.</w:t>
      </w:r>
    </w:p>
    <w:p w14:paraId="215A589E" w14:textId="77777777" w:rsidR="008E1DDB" w:rsidRPr="0083054A"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3054A">
        <w:rPr>
          <w:rFonts w:ascii="Times New Roman" w:eastAsia="Times New Roman" w:hAnsi="Times New Roman" w:cs="Times New Roman"/>
          <w:kern w:val="0"/>
          <w:sz w:val="24"/>
          <w:szCs w:val="24"/>
          <w:lang w:eastAsia="es-CO"/>
          <w14:ligatures w14:val="none"/>
        </w:rPr>
        <w:t xml:space="preserve">No obstante, esta evolución también plantea desafíos. Aunque CAF ha incrementado notablemente la producción de conocimiento y la cooperación técnica, persisten diferencias entre la formulación estratégica y la implementación efectiva de algunos programas. En varios casos, la medición del impacto educativo continúa basada principalmente en indicadores de ejecución financiera y cobertura, mientras que </w:t>
      </w:r>
      <w:r w:rsidRPr="003E6697">
        <w:rPr>
          <w:rFonts w:ascii="Times New Roman" w:eastAsia="Times New Roman" w:hAnsi="Times New Roman" w:cs="Times New Roman"/>
          <w:kern w:val="0"/>
          <w:sz w:val="24"/>
          <w:szCs w:val="24"/>
          <w:highlight w:val="yellow"/>
          <w:lang w:eastAsia="es-CO"/>
          <w14:ligatures w14:val="none"/>
        </w:rPr>
        <w:t>existe menor evidencia sobre resultados de largo plazo relacionados con calidad del aprendizaje, empleabilidad de los egresados, producción científica o fortalecimiento de ecosistemas nacionales de innovación.</w:t>
      </w:r>
    </w:p>
    <w:p w14:paraId="22065CC6" w14:textId="77777777" w:rsidR="008E1DDB" w:rsidRPr="0083054A"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3054A">
        <w:rPr>
          <w:rFonts w:ascii="Times New Roman" w:eastAsia="Times New Roman" w:hAnsi="Times New Roman" w:cs="Times New Roman"/>
          <w:kern w:val="0"/>
          <w:sz w:val="24"/>
          <w:szCs w:val="24"/>
          <w:lang w:eastAsia="es-CO"/>
          <w14:ligatures w14:val="none"/>
        </w:rPr>
        <w:t xml:space="preserve">Esta situación constituye uno de los principales retos para la institución: </w:t>
      </w:r>
      <w:r w:rsidRPr="00B3407B">
        <w:rPr>
          <w:rFonts w:ascii="Times New Roman" w:eastAsia="Times New Roman" w:hAnsi="Times New Roman" w:cs="Times New Roman"/>
          <w:kern w:val="0"/>
          <w:sz w:val="24"/>
          <w:szCs w:val="24"/>
          <w:highlight w:val="yellow"/>
          <w:lang w:eastAsia="es-CO"/>
          <w14:ligatures w14:val="none"/>
        </w:rPr>
        <w:t>avanzar desde una lógica centrada en el financiamiento de proyectos hacia un modelo orientado a la medición del impacto transformador sobre el desarrollo educativo, científico y tecnológico de la región.</w:t>
      </w:r>
    </w:p>
    <w:p w14:paraId="6921D452" w14:textId="77777777" w:rsidR="008E1DDB" w:rsidRPr="00437C12" w:rsidRDefault="008E1DDB" w:rsidP="008E1DDB">
      <w:pPr>
        <w:spacing w:before="100" w:beforeAutospacing="1" w:after="100" w:afterAutospacing="1" w:line="240" w:lineRule="auto"/>
        <w:outlineLvl w:val="1"/>
        <w:rPr>
          <w:rFonts w:ascii="Times New Roman" w:eastAsia="Times New Roman" w:hAnsi="Times New Roman" w:cs="Times New Roman"/>
          <w:b/>
          <w:bCs/>
          <w:kern w:val="0"/>
          <w:sz w:val="28"/>
          <w:szCs w:val="28"/>
          <w:lang w:eastAsia="es-CO"/>
          <w14:ligatures w14:val="none"/>
        </w:rPr>
      </w:pPr>
      <w:r w:rsidRPr="00437C12">
        <w:rPr>
          <w:rFonts w:ascii="Times New Roman" w:eastAsia="Times New Roman" w:hAnsi="Times New Roman" w:cs="Times New Roman"/>
          <w:b/>
          <w:bCs/>
          <w:kern w:val="0"/>
          <w:sz w:val="28"/>
          <w:szCs w:val="28"/>
          <w:lang w:eastAsia="es-CO"/>
          <w14:ligatures w14:val="none"/>
        </w:rPr>
        <w:t>4. Análisis crítico de las estrategias, programas y proyectos de CAF en educación (2021–2026)</w:t>
      </w:r>
    </w:p>
    <w:p w14:paraId="51DB3710" w14:textId="77777777" w:rsidR="008E1DDB" w:rsidRPr="002C0841"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2C0841">
        <w:rPr>
          <w:rFonts w:ascii="Times New Roman" w:eastAsia="Times New Roman" w:hAnsi="Times New Roman" w:cs="Times New Roman"/>
          <w:kern w:val="0"/>
          <w:sz w:val="24"/>
          <w:szCs w:val="24"/>
          <w:lang w:eastAsia="es-CO"/>
          <w14:ligatures w14:val="none"/>
        </w:rPr>
        <w:t>Durante el período 2021–2026, CAF fortaleció su compromiso con la educación como un pilar para el desarrollo sostenible de América Latina y el Caribe. Sus intervenciones respondieron, en gran medida, a los efectos provocados por la pandemia, que profundizó las brechas educativas, tecnológicas y sociales existentes en la región. En este contexto, la institución amplió el financiamiento para infraestructura educativa, transformación digital, fortalecimiento de capacidades docentes, educación híbrida y modernización de la gestión pública del sector educativo.</w:t>
      </w:r>
    </w:p>
    <w:p w14:paraId="61DC4284" w14:textId="77777777" w:rsidR="008E1DDB" w:rsidRPr="002C0841"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2C0841">
        <w:rPr>
          <w:rFonts w:ascii="Times New Roman" w:eastAsia="Times New Roman" w:hAnsi="Times New Roman" w:cs="Times New Roman"/>
          <w:kern w:val="0"/>
          <w:sz w:val="24"/>
          <w:szCs w:val="24"/>
          <w:lang w:eastAsia="es-CO"/>
          <w14:ligatures w14:val="none"/>
        </w:rPr>
        <w:t xml:space="preserve">Desde una perspectiva estratégica, uno de los principales aciertos de CAF ha sido reconocer que </w:t>
      </w:r>
      <w:r w:rsidRPr="00E24D21">
        <w:rPr>
          <w:rFonts w:ascii="Times New Roman" w:eastAsia="Times New Roman" w:hAnsi="Times New Roman" w:cs="Times New Roman"/>
          <w:kern w:val="0"/>
          <w:sz w:val="24"/>
          <w:szCs w:val="24"/>
          <w:highlight w:val="yellow"/>
          <w:lang w:eastAsia="es-CO"/>
          <w14:ligatures w14:val="none"/>
        </w:rPr>
        <w:t>la educación no constituye únicamente un derecho social, sino también un factor determinante para incrementar la productividad, la innovación y la competitividad regional.</w:t>
      </w:r>
      <w:r w:rsidRPr="002C0841">
        <w:rPr>
          <w:rFonts w:ascii="Times New Roman" w:eastAsia="Times New Roman" w:hAnsi="Times New Roman" w:cs="Times New Roman"/>
          <w:kern w:val="0"/>
          <w:sz w:val="24"/>
          <w:szCs w:val="24"/>
          <w:lang w:eastAsia="es-CO"/>
          <w14:ligatures w14:val="none"/>
        </w:rPr>
        <w:t xml:space="preserve"> Este enfoque representa una evolución frente a modelos tradicionales de financiamiento centrados exclusivamente en infraestructura física.</w:t>
      </w:r>
    </w:p>
    <w:p w14:paraId="59F0BCC2" w14:textId="77777777" w:rsidR="008E1DDB" w:rsidRPr="002C0841"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2C0841">
        <w:rPr>
          <w:rFonts w:ascii="Times New Roman" w:eastAsia="Times New Roman" w:hAnsi="Times New Roman" w:cs="Times New Roman"/>
          <w:kern w:val="0"/>
          <w:sz w:val="24"/>
          <w:szCs w:val="24"/>
          <w:lang w:eastAsia="es-CO"/>
          <w14:ligatures w14:val="none"/>
        </w:rPr>
        <w:t xml:space="preserve">Otro aspecto destacable es la promoción de proyectos con enfoque integral. En lugar de financiar únicamente la construcción o remodelación de instituciones educativas, CAF ha impulsado iniciativas que combinan infraestructura, conectividad, formación docente, </w:t>
      </w:r>
      <w:r w:rsidRPr="002C0841">
        <w:rPr>
          <w:rFonts w:ascii="Times New Roman" w:eastAsia="Times New Roman" w:hAnsi="Times New Roman" w:cs="Times New Roman"/>
          <w:kern w:val="0"/>
          <w:sz w:val="24"/>
          <w:szCs w:val="24"/>
          <w:lang w:eastAsia="es-CO"/>
          <w14:ligatures w14:val="none"/>
        </w:rPr>
        <w:lastRenderedPageBreak/>
        <w:t>desarrollo de competencias digitales y fortalecimiento institucional. Esta aproximación incrementa la probabilidad de generar cambios sostenibles en los sistemas educativos.</w:t>
      </w:r>
    </w:p>
    <w:p w14:paraId="03865385" w14:textId="77777777" w:rsidR="008E1DDB" w:rsidRPr="00334A69" w:rsidRDefault="008E1DDB" w:rsidP="008E1DDB">
      <w:p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2C0841">
        <w:rPr>
          <w:rFonts w:ascii="Times New Roman" w:eastAsia="Times New Roman" w:hAnsi="Times New Roman" w:cs="Times New Roman"/>
          <w:kern w:val="0"/>
          <w:sz w:val="24"/>
          <w:szCs w:val="24"/>
          <w:lang w:eastAsia="es-CO"/>
          <w14:ligatures w14:val="none"/>
        </w:rPr>
        <w:t xml:space="preserve">Sin embargo, un análisis crítico permite identificar algunas limitaciones. </w:t>
      </w:r>
      <w:r w:rsidRPr="00334A69">
        <w:rPr>
          <w:rFonts w:ascii="Times New Roman" w:eastAsia="Times New Roman" w:hAnsi="Times New Roman" w:cs="Times New Roman"/>
          <w:kern w:val="0"/>
          <w:sz w:val="24"/>
          <w:szCs w:val="24"/>
          <w:highlight w:val="yellow"/>
          <w:lang w:eastAsia="es-CO"/>
          <w14:ligatures w14:val="none"/>
        </w:rPr>
        <w:t>Aunque los proyectos presentan una adecuada formulación técnica, la evidencia pública disponible sobre sus resultados de mediano y largo plazo continúa siendo limitada. En numerosos casos, los informes institucionales enfatizan indicadores relacionados con montos desembolsados, número de beneficiarios o infraestructura construida, pero ofrecen menor información sobre variables como:</w:t>
      </w:r>
    </w:p>
    <w:p w14:paraId="533EBE27" w14:textId="77777777" w:rsidR="008E1DDB" w:rsidRPr="00334A69" w:rsidRDefault="008E1DDB" w:rsidP="008E1DDB">
      <w:pPr>
        <w:numPr>
          <w:ilvl w:val="0"/>
          <w:numId w:val="3"/>
        </w:num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334A69">
        <w:rPr>
          <w:rFonts w:ascii="Times New Roman" w:eastAsia="Times New Roman" w:hAnsi="Times New Roman" w:cs="Times New Roman"/>
          <w:kern w:val="0"/>
          <w:sz w:val="24"/>
          <w:szCs w:val="24"/>
          <w:highlight w:val="yellow"/>
          <w:lang w:eastAsia="es-CO"/>
          <w14:ligatures w14:val="none"/>
        </w:rPr>
        <w:t xml:space="preserve">mejoramiento del aprendizaje; </w:t>
      </w:r>
    </w:p>
    <w:p w14:paraId="2911B7C9" w14:textId="77777777" w:rsidR="008E1DDB" w:rsidRPr="00334A69" w:rsidRDefault="008E1DDB" w:rsidP="008E1DDB">
      <w:pPr>
        <w:numPr>
          <w:ilvl w:val="0"/>
          <w:numId w:val="3"/>
        </w:num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334A69">
        <w:rPr>
          <w:rFonts w:ascii="Times New Roman" w:eastAsia="Times New Roman" w:hAnsi="Times New Roman" w:cs="Times New Roman"/>
          <w:kern w:val="0"/>
          <w:sz w:val="24"/>
          <w:szCs w:val="24"/>
          <w:highlight w:val="yellow"/>
          <w:lang w:eastAsia="es-CO"/>
          <w14:ligatures w14:val="none"/>
        </w:rPr>
        <w:t xml:space="preserve">reducción efectiva de brechas educativas; </w:t>
      </w:r>
    </w:p>
    <w:p w14:paraId="27C456CA" w14:textId="77777777" w:rsidR="008E1DDB" w:rsidRPr="00334A69" w:rsidRDefault="008E1DDB" w:rsidP="008E1DDB">
      <w:pPr>
        <w:numPr>
          <w:ilvl w:val="0"/>
          <w:numId w:val="3"/>
        </w:num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334A69">
        <w:rPr>
          <w:rFonts w:ascii="Times New Roman" w:eastAsia="Times New Roman" w:hAnsi="Times New Roman" w:cs="Times New Roman"/>
          <w:kern w:val="0"/>
          <w:sz w:val="24"/>
          <w:szCs w:val="24"/>
          <w:highlight w:val="yellow"/>
          <w:lang w:eastAsia="es-CO"/>
          <w14:ligatures w14:val="none"/>
        </w:rPr>
        <w:t xml:space="preserve">disminución del abandono escolar; </w:t>
      </w:r>
    </w:p>
    <w:p w14:paraId="324242C6" w14:textId="77777777" w:rsidR="008E1DDB" w:rsidRPr="00334A69" w:rsidRDefault="008E1DDB" w:rsidP="008E1DDB">
      <w:pPr>
        <w:numPr>
          <w:ilvl w:val="0"/>
          <w:numId w:val="3"/>
        </w:num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334A69">
        <w:rPr>
          <w:rFonts w:ascii="Times New Roman" w:eastAsia="Times New Roman" w:hAnsi="Times New Roman" w:cs="Times New Roman"/>
          <w:kern w:val="0"/>
          <w:sz w:val="24"/>
          <w:szCs w:val="24"/>
          <w:highlight w:val="yellow"/>
          <w:lang w:eastAsia="es-CO"/>
          <w14:ligatures w14:val="none"/>
        </w:rPr>
        <w:t xml:space="preserve">fortalecimiento de competencias digitales; </w:t>
      </w:r>
    </w:p>
    <w:p w14:paraId="33087308" w14:textId="77777777" w:rsidR="008E1DDB" w:rsidRPr="00334A69" w:rsidRDefault="008E1DDB" w:rsidP="008E1DDB">
      <w:pPr>
        <w:numPr>
          <w:ilvl w:val="0"/>
          <w:numId w:val="3"/>
        </w:num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334A69">
        <w:rPr>
          <w:rFonts w:ascii="Times New Roman" w:eastAsia="Times New Roman" w:hAnsi="Times New Roman" w:cs="Times New Roman"/>
          <w:kern w:val="0"/>
          <w:sz w:val="24"/>
          <w:szCs w:val="24"/>
          <w:highlight w:val="yellow"/>
          <w:lang w:eastAsia="es-CO"/>
          <w14:ligatures w14:val="none"/>
        </w:rPr>
        <w:t xml:space="preserve">impacto sobre la calidad educativa. </w:t>
      </w:r>
    </w:p>
    <w:p w14:paraId="6631D039" w14:textId="77777777" w:rsidR="008E1DDB" w:rsidRPr="002C0841"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2C0841">
        <w:rPr>
          <w:rFonts w:ascii="Times New Roman" w:eastAsia="Times New Roman" w:hAnsi="Times New Roman" w:cs="Times New Roman"/>
          <w:kern w:val="0"/>
          <w:sz w:val="24"/>
          <w:szCs w:val="24"/>
          <w:lang w:eastAsia="es-CO"/>
          <w14:ligatures w14:val="none"/>
        </w:rPr>
        <w:t>Esta situación dificulta valorar plenamente la efectividad de las intervenciones financiadas y limita la generación de aprendizajes institucionales para futuros programas.</w:t>
      </w:r>
    </w:p>
    <w:p w14:paraId="200DFE24" w14:textId="77777777" w:rsidR="008E1DDB" w:rsidRPr="002C0841" w:rsidRDefault="008E1DDB" w:rsidP="008E1DDB">
      <w:pPr>
        <w:spacing w:before="100" w:beforeAutospacing="1" w:after="100" w:afterAutospacing="1" w:line="240" w:lineRule="auto"/>
        <w:outlineLvl w:val="2"/>
        <w:rPr>
          <w:rFonts w:ascii="Times New Roman" w:eastAsia="Times New Roman" w:hAnsi="Times New Roman" w:cs="Times New Roman"/>
          <w:b/>
          <w:bCs/>
          <w:kern w:val="0"/>
          <w:sz w:val="27"/>
          <w:szCs w:val="27"/>
          <w:lang w:eastAsia="es-CO"/>
          <w14:ligatures w14:val="none"/>
        </w:rPr>
      </w:pPr>
      <w:r w:rsidRPr="002C0841">
        <w:rPr>
          <w:rFonts w:ascii="Times New Roman" w:eastAsia="Times New Roman" w:hAnsi="Times New Roman" w:cs="Times New Roman"/>
          <w:b/>
          <w:bCs/>
          <w:kern w:val="0"/>
          <w:sz w:val="27"/>
          <w:szCs w:val="27"/>
          <w:lang w:eastAsia="es-CO"/>
          <w14:ligatures w14:val="none"/>
        </w:rPr>
        <w:t>Transformación digital de la educación</w:t>
      </w:r>
    </w:p>
    <w:p w14:paraId="53DB5FFA" w14:textId="77777777" w:rsidR="008E1DDB" w:rsidRPr="002C0841"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2C0841">
        <w:rPr>
          <w:rFonts w:ascii="Times New Roman" w:eastAsia="Times New Roman" w:hAnsi="Times New Roman" w:cs="Times New Roman"/>
          <w:kern w:val="0"/>
          <w:sz w:val="24"/>
          <w:szCs w:val="24"/>
          <w:lang w:eastAsia="es-CO"/>
          <w14:ligatures w14:val="none"/>
        </w:rPr>
        <w:t>Uno de los ejes estratégicos más relevantes impulsados por CAF durante los últimos cinco años ha sido la transformación digital de los sistemas educativos. La institución apoyó proyectos orientados al fortalecimiento de plataformas virtuales, conectividad escolar, adquisición de tecnologías educativas y formación docente en competencias digitales.</w:t>
      </w:r>
    </w:p>
    <w:p w14:paraId="21FDDCCE" w14:textId="77777777" w:rsidR="008E1DDB" w:rsidRPr="002C0841"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2C0841">
        <w:rPr>
          <w:rFonts w:ascii="Times New Roman" w:eastAsia="Times New Roman" w:hAnsi="Times New Roman" w:cs="Times New Roman"/>
          <w:kern w:val="0"/>
          <w:sz w:val="24"/>
          <w:szCs w:val="24"/>
          <w:lang w:eastAsia="es-CO"/>
          <w14:ligatures w14:val="none"/>
        </w:rPr>
        <w:t>Estas iniciativas respondieron adecuadamente a las necesidades surgidas durante la pandemia y permitieron que numerosos países aceleraran procesos de modernización educativa que, en condiciones normales, habrían requerido varios años.</w:t>
      </w:r>
    </w:p>
    <w:p w14:paraId="230C7C4A" w14:textId="77777777" w:rsidR="008E1DDB" w:rsidRPr="002C0841"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2C0841">
        <w:rPr>
          <w:rFonts w:ascii="Times New Roman" w:eastAsia="Times New Roman" w:hAnsi="Times New Roman" w:cs="Times New Roman"/>
          <w:kern w:val="0"/>
          <w:sz w:val="24"/>
          <w:szCs w:val="24"/>
          <w:lang w:eastAsia="es-CO"/>
          <w14:ligatures w14:val="none"/>
        </w:rPr>
        <w:t>No obstante, el análisis evidencia que la digitalización, por sí sola, no garantiza mejoras en la calidad educativa. En diversos países persisten desigualdades asociadas al acceso a internet, disponibilidad de dispositivos tecnológicos y capacidades pedagógicas para integrar las herramientas digitales en los procesos de enseñanza y aprendizaje.</w:t>
      </w:r>
    </w:p>
    <w:p w14:paraId="3108F83A" w14:textId="77777777" w:rsidR="008E1DDB" w:rsidRPr="002C0841"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2C0841">
        <w:rPr>
          <w:rFonts w:ascii="Times New Roman" w:eastAsia="Times New Roman" w:hAnsi="Times New Roman" w:cs="Times New Roman"/>
          <w:kern w:val="0"/>
          <w:sz w:val="24"/>
          <w:szCs w:val="24"/>
          <w:lang w:eastAsia="es-CO"/>
          <w14:ligatures w14:val="none"/>
        </w:rPr>
        <w:t xml:space="preserve">En consecuencia, </w:t>
      </w:r>
      <w:r w:rsidRPr="004F203C">
        <w:rPr>
          <w:rFonts w:ascii="Times New Roman" w:eastAsia="Times New Roman" w:hAnsi="Times New Roman" w:cs="Times New Roman"/>
          <w:kern w:val="0"/>
          <w:sz w:val="24"/>
          <w:szCs w:val="24"/>
          <w:highlight w:val="yellow"/>
          <w:lang w:eastAsia="es-CO"/>
          <w14:ligatures w14:val="none"/>
        </w:rPr>
        <w:t>el principal desafío para CAF consiste en evolucionar desde un enfoque centrado en la provisión de infraestructura tecnológica hacia uno orientado al fortalecimiento de las capacidades institucionales y pedagógicas necesarias para aprovechar plenamente dichas inversiones.</w:t>
      </w:r>
    </w:p>
    <w:p w14:paraId="40279EA4" w14:textId="77777777" w:rsidR="008E1DDB" w:rsidRPr="002C0841" w:rsidRDefault="008E1DDB" w:rsidP="008E1DDB">
      <w:pPr>
        <w:spacing w:before="100" w:beforeAutospacing="1" w:after="100" w:afterAutospacing="1" w:line="240" w:lineRule="auto"/>
        <w:outlineLvl w:val="2"/>
        <w:rPr>
          <w:rFonts w:ascii="Times New Roman" w:eastAsia="Times New Roman" w:hAnsi="Times New Roman" w:cs="Times New Roman"/>
          <w:b/>
          <w:bCs/>
          <w:kern w:val="0"/>
          <w:sz w:val="27"/>
          <w:szCs w:val="27"/>
          <w:lang w:eastAsia="es-CO"/>
          <w14:ligatures w14:val="none"/>
        </w:rPr>
      </w:pPr>
      <w:r w:rsidRPr="002C0841">
        <w:rPr>
          <w:rFonts w:ascii="Times New Roman" w:eastAsia="Times New Roman" w:hAnsi="Times New Roman" w:cs="Times New Roman"/>
          <w:b/>
          <w:bCs/>
          <w:kern w:val="0"/>
          <w:sz w:val="27"/>
          <w:szCs w:val="27"/>
          <w:lang w:eastAsia="es-CO"/>
          <w14:ligatures w14:val="none"/>
        </w:rPr>
        <w:t>Fortalecimiento de la gestión educativa</w:t>
      </w:r>
    </w:p>
    <w:p w14:paraId="4AFDBDB0" w14:textId="77777777" w:rsidR="008E1DDB" w:rsidRPr="002C0841"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2C0841">
        <w:rPr>
          <w:rFonts w:ascii="Times New Roman" w:eastAsia="Times New Roman" w:hAnsi="Times New Roman" w:cs="Times New Roman"/>
          <w:kern w:val="0"/>
          <w:sz w:val="24"/>
          <w:szCs w:val="24"/>
          <w:lang w:eastAsia="es-CO"/>
          <w14:ligatures w14:val="none"/>
        </w:rPr>
        <w:t>Otro componente relevante ha sido el apoyo técnico para modernizar la gestión de los ministerios de educación y fortalecer los sistemas de información educativa. CAF ha promovido proyectos destinados a mejorar la planificación sectorial, el uso de datos para la toma de decisiones y la eficiencia administrativa.</w:t>
      </w:r>
    </w:p>
    <w:p w14:paraId="0362E70D" w14:textId="77777777" w:rsidR="008E1DDB" w:rsidRPr="002C0841"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2C0841">
        <w:rPr>
          <w:rFonts w:ascii="Times New Roman" w:eastAsia="Times New Roman" w:hAnsi="Times New Roman" w:cs="Times New Roman"/>
          <w:kern w:val="0"/>
          <w:sz w:val="24"/>
          <w:szCs w:val="24"/>
          <w:lang w:eastAsia="es-CO"/>
          <w14:ligatures w14:val="none"/>
        </w:rPr>
        <w:lastRenderedPageBreak/>
        <w:t xml:space="preserve">Estas acciones representan un aporte importante, </w:t>
      </w:r>
      <w:r w:rsidRPr="00D04639">
        <w:rPr>
          <w:rFonts w:ascii="Times New Roman" w:eastAsia="Times New Roman" w:hAnsi="Times New Roman" w:cs="Times New Roman"/>
          <w:kern w:val="0"/>
          <w:sz w:val="24"/>
          <w:szCs w:val="24"/>
          <w:highlight w:val="yellow"/>
          <w:lang w:eastAsia="es-CO"/>
          <w14:ligatures w14:val="none"/>
        </w:rPr>
        <w:t>ya que numerosos sistemas educativos latinoamericanos enfrentan limitaciones relacionadas con la calidad de la información estadística y la capacidad para evaluar políticas públicas.</w:t>
      </w:r>
    </w:p>
    <w:p w14:paraId="04469699" w14:textId="77777777" w:rsidR="008E1DDB" w:rsidRPr="002C0841"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2C0841">
        <w:rPr>
          <w:rFonts w:ascii="Times New Roman" w:eastAsia="Times New Roman" w:hAnsi="Times New Roman" w:cs="Times New Roman"/>
          <w:kern w:val="0"/>
          <w:sz w:val="24"/>
          <w:szCs w:val="24"/>
          <w:lang w:eastAsia="es-CO"/>
          <w14:ligatures w14:val="none"/>
        </w:rPr>
        <w:t>Sin embargo, la sostenibilidad de estas iniciativas depende de factores que trascienden el financiamiento del Banco, como la estabilidad institucional, la continuidad de las políticas públicas y el fortalecimiento del talento humano en las administraciones nacionales. En algunos casos, los avances logrados pueden verse afectados por cambios de gobierno o por restricciones presupuestarias que dificultan mantener las capacidades desarrolladas.</w:t>
      </w:r>
    </w:p>
    <w:p w14:paraId="230C19E4" w14:textId="77777777" w:rsidR="008E1DDB" w:rsidRPr="009B116C" w:rsidRDefault="008E1DDB" w:rsidP="008E1DDB">
      <w:pPr>
        <w:spacing w:before="100" w:beforeAutospacing="1" w:after="100" w:afterAutospacing="1" w:line="240" w:lineRule="auto"/>
        <w:outlineLvl w:val="0"/>
        <w:rPr>
          <w:rFonts w:ascii="Times New Roman" w:eastAsia="Times New Roman" w:hAnsi="Times New Roman" w:cs="Times New Roman"/>
          <w:b/>
          <w:bCs/>
          <w:kern w:val="36"/>
          <w:sz w:val="28"/>
          <w:szCs w:val="28"/>
          <w:lang w:eastAsia="es-CO"/>
          <w14:ligatures w14:val="none"/>
        </w:rPr>
      </w:pPr>
      <w:r w:rsidRPr="009B116C">
        <w:rPr>
          <w:rFonts w:ascii="Times New Roman" w:eastAsia="Times New Roman" w:hAnsi="Times New Roman" w:cs="Times New Roman"/>
          <w:b/>
          <w:bCs/>
          <w:kern w:val="36"/>
          <w:sz w:val="28"/>
          <w:szCs w:val="28"/>
          <w:lang w:eastAsia="es-CO"/>
          <w14:ligatures w14:val="none"/>
        </w:rPr>
        <w:t>5. Análisis crítico de las acciones de CAF en educación superior</w:t>
      </w:r>
    </w:p>
    <w:p w14:paraId="2249FD0C" w14:textId="77777777" w:rsidR="008E1DDB" w:rsidRPr="00AC7443" w:rsidRDefault="008E1DDB" w:rsidP="008E1DDB">
      <w:p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AC7443">
        <w:rPr>
          <w:rFonts w:ascii="Times New Roman" w:eastAsia="Times New Roman" w:hAnsi="Times New Roman" w:cs="Times New Roman"/>
          <w:kern w:val="0"/>
          <w:sz w:val="24"/>
          <w:szCs w:val="24"/>
          <w:highlight w:val="yellow"/>
          <w:lang w:eastAsia="es-CO"/>
          <w14:ligatures w14:val="none"/>
        </w:rPr>
        <w:t>La educación superior adquirió una relevancia creciente dentro de la agenda institucional de CAF durante el período analizado. Aunque históricamente el Banco había concentrado buena parte de sus inversiones en infraestructura económica y social, en los últimos años ha fortalecido su apoyo a universidades, centros de investigación y programas destinados al desarrollo del capital humano avanzado.</w:t>
      </w:r>
    </w:p>
    <w:p w14:paraId="0B7D7833" w14:textId="77777777" w:rsidR="008E1DDB" w:rsidRPr="00AC7443" w:rsidRDefault="008E1DDB" w:rsidP="008E1DDB">
      <w:p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AC7443">
        <w:rPr>
          <w:rFonts w:ascii="Times New Roman" w:eastAsia="Times New Roman" w:hAnsi="Times New Roman" w:cs="Times New Roman"/>
          <w:kern w:val="0"/>
          <w:sz w:val="24"/>
          <w:szCs w:val="24"/>
          <w:highlight w:val="yellow"/>
          <w:lang w:eastAsia="es-CO"/>
          <w14:ligatures w14:val="none"/>
        </w:rPr>
        <w:t>Uno de los mayores aportes de CAF ha sido promover la educación superior como elemento articulador entre formación profesional, investigación científica e innovación tecnológica. Esta visión reconoce que las universidades desempeñan un papel fundamental en la construcción de economías basadas en el conocimiento y en la generación de soluciones para los problemas del desarrollo regional.</w:t>
      </w:r>
    </w:p>
    <w:p w14:paraId="6778F0E6" w14:textId="77777777" w:rsidR="008E1DDB" w:rsidRPr="002C0841"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AC7443">
        <w:rPr>
          <w:rFonts w:ascii="Times New Roman" w:eastAsia="Times New Roman" w:hAnsi="Times New Roman" w:cs="Times New Roman"/>
          <w:kern w:val="0"/>
          <w:sz w:val="24"/>
          <w:szCs w:val="24"/>
          <w:highlight w:val="yellow"/>
          <w:lang w:eastAsia="es-CO"/>
          <w14:ligatures w14:val="none"/>
        </w:rPr>
        <w:t>Las iniciativas impulsadas por CAF incluyen programas de fortalecimiento institucional universitario, cooperación académica regional, movilidad de investigadores, capacitación de docentes universitarios y apoyo a procesos de internacionalización.</w:t>
      </w:r>
    </w:p>
    <w:p w14:paraId="25BEA67C" w14:textId="77777777" w:rsidR="008E1DDB" w:rsidRPr="002C0841"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2C0841">
        <w:rPr>
          <w:rFonts w:ascii="Times New Roman" w:eastAsia="Times New Roman" w:hAnsi="Times New Roman" w:cs="Times New Roman"/>
          <w:kern w:val="0"/>
          <w:sz w:val="24"/>
          <w:szCs w:val="24"/>
          <w:lang w:eastAsia="es-CO"/>
          <w14:ligatures w14:val="none"/>
        </w:rPr>
        <w:t>Desde una perspectiva crítica, estas acciones evidencian una adecuada comprensión de las tendencias internacionales en educación superior. Sin embargo, aún existe margen para fortalecer la articulación entre las universidades financiadas y los sectores productivos.</w:t>
      </w:r>
    </w:p>
    <w:p w14:paraId="1E05B159" w14:textId="77777777" w:rsidR="008E1DDB" w:rsidRPr="002C0841"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5F0B43">
        <w:rPr>
          <w:rFonts w:ascii="Times New Roman" w:eastAsia="Times New Roman" w:hAnsi="Times New Roman" w:cs="Times New Roman"/>
          <w:kern w:val="0"/>
          <w:sz w:val="24"/>
          <w:szCs w:val="24"/>
          <w:highlight w:val="yellow"/>
          <w:lang w:eastAsia="es-CO"/>
          <w14:ligatures w14:val="none"/>
        </w:rPr>
        <w:t>En varios países latinoamericanos persiste una brecha significativa entre la investigación académica y las necesidades del aparato productivo. Aunque CAF reconoce esta problemática en sus documentos estratégicos, todavía son relativamente limitados los programas que promueven de manera sistemática la transferencia tecnológica, el emprendimiento basado en conocimiento y la innovación empresarial surgida desde las universidades.</w:t>
      </w:r>
    </w:p>
    <w:p w14:paraId="5B71760D" w14:textId="77777777" w:rsidR="008E1DDB" w:rsidRPr="002C0841" w:rsidRDefault="008E1DDB" w:rsidP="008E1DDB">
      <w:pPr>
        <w:spacing w:before="100" w:beforeAutospacing="1" w:after="100" w:afterAutospacing="1" w:line="240" w:lineRule="auto"/>
        <w:outlineLvl w:val="2"/>
        <w:rPr>
          <w:rFonts w:ascii="Times New Roman" w:eastAsia="Times New Roman" w:hAnsi="Times New Roman" w:cs="Times New Roman"/>
          <w:b/>
          <w:bCs/>
          <w:kern w:val="0"/>
          <w:sz w:val="27"/>
          <w:szCs w:val="27"/>
          <w:lang w:eastAsia="es-CO"/>
          <w14:ligatures w14:val="none"/>
        </w:rPr>
      </w:pPr>
      <w:r w:rsidRPr="002C0841">
        <w:rPr>
          <w:rFonts w:ascii="Times New Roman" w:eastAsia="Times New Roman" w:hAnsi="Times New Roman" w:cs="Times New Roman"/>
          <w:b/>
          <w:bCs/>
          <w:kern w:val="0"/>
          <w:sz w:val="27"/>
          <w:szCs w:val="27"/>
          <w:lang w:eastAsia="es-CO"/>
          <w14:ligatures w14:val="none"/>
        </w:rPr>
        <w:t>Internacionalización y cooperación regional</w:t>
      </w:r>
    </w:p>
    <w:p w14:paraId="2ACABEF2" w14:textId="77777777" w:rsidR="008E1DDB" w:rsidRPr="002C0841"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FC63B1">
        <w:rPr>
          <w:rFonts w:ascii="Times New Roman" w:eastAsia="Times New Roman" w:hAnsi="Times New Roman" w:cs="Times New Roman"/>
          <w:kern w:val="0"/>
          <w:sz w:val="24"/>
          <w:szCs w:val="24"/>
          <w:highlight w:val="yellow"/>
          <w:lang w:eastAsia="es-CO"/>
          <w14:ligatures w14:val="none"/>
        </w:rPr>
        <w:t>Uno de los aspectos más positivos del trabajo de CAF ha sido su capacidad para fomentar la cooperación regional entre instituciones de educación superior. La promoción de redes académicas, intercambio de buenas prácticas y generación de conocimiento compartido constituye un aporte relevante para fortalecer la integración latinoamericana.</w:t>
      </w:r>
    </w:p>
    <w:p w14:paraId="3F0C04CF" w14:textId="77777777" w:rsidR="008E1DDB" w:rsidRPr="002C0841"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2C0841">
        <w:rPr>
          <w:rFonts w:ascii="Times New Roman" w:eastAsia="Times New Roman" w:hAnsi="Times New Roman" w:cs="Times New Roman"/>
          <w:kern w:val="0"/>
          <w:sz w:val="24"/>
          <w:szCs w:val="24"/>
          <w:lang w:eastAsia="es-CO"/>
          <w14:ligatures w14:val="none"/>
        </w:rPr>
        <w:lastRenderedPageBreak/>
        <w:t>Esta estrategia resulta especialmente pertinente considerando que muchos países enfrentan desafíos similares en materia de aseguramiento de la calidad, transformación digital, investigación científica y formación de talento humano.</w:t>
      </w:r>
    </w:p>
    <w:p w14:paraId="4B214A32" w14:textId="77777777" w:rsidR="008E1DDB" w:rsidRPr="002C0841"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2C0841">
        <w:rPr>
          <w:rFonts w:ascii="Times New Roman" w:eastAsia="Times New Roman" w:hAnsi="Times New Roman" w:cs="Times New Roman"/>
          <w:kern w:val="0"/>
          <w:sz w:val="24"/>
          <w:szCs w:val="24"/>
          <w:lang w:eastAsia="es-CO"/>
          <w14:ligatures w14:val="none"/>
        </w:rPr>
        <w:t>No obstante, los resultados podrían potenciarse mediante mecanismos permanentes de seguimiento y evaluación que permitan medir el impacto de estas redes sobre la producción científica regional, la innovación tecnológica y la formulación de políticas públicas.</w:t>
      </w:r>
    </w:p>
    <w:p w14:paraId="57284790" w14:textId="77777777" w:rsidR="008E1DDB" w:rsidRPr="002C0841" w:rsidRDefault="008E1DDB" w:rsidP="008E1DDB">
      <w:pPr>
        <w:spacing w:before="100" w:beforeAutospacing="1" w:after="100" w:afterAutospacing="1" w:line="240" w:lineRule="auto"/>
        <w:outlineLvl w:val="2"/>
        <w:rPr>
          <w:rFonts w:ascii="Times New Roman" w:eastAsia="Times New Roman" w:hAnsi="Times New Roman" w:cs="Times New Roman"/>
          <w:b/>
          <w:bCs/>
          <w:kern w:val="0"/>
          <w:sz w:val="27"/>
          <w:szCs w:val="27"/>
          <w:lang w:eastAsia="es-CO"/>
          <w14:ligatures w14:val="none"/>
        </w:rPr>
      </w:pPr>
      <w:r w:rsidRPr="002C0841">
        <w:rPr>
          <w:rFonts w:ascii="Times New Roman" w:eastAsia="Times New Roman" w:hAnsi="Times New Roman" w:cs="Times New Roman"/>
          <w:b/>
          <w:bCs/>
          <w:kern w:val="0"/>
          <w:sz w:val="27"/>
          <w:szCs w:val="27"/>
          <w:lang w:eastAsia="es-CO"/>
          <w14:ligatures w14:val="none"/>
        </w:rPr>
        <w:t>Inclusión y equidad en la educación superior</w:t>
      </w:r>
    </w:p>
    <w:p w14:paraId="3F4E52A1" w14:textId="77777777" w:rsidR="008E1DDB" w:rsidRPr="002C0841"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2C0841">
        <w:rPr>
          <w:rFonts w:ascii="Times New Roman" w:eastAsia="Times New Roman" w:hAnsi="Times New Roman" w:cs="Times New Roman"/>
          <w:kern w:val="0"/>
          <w:sz w:val="24"/>
          <w:szCs w:val="24"/>
          <w:lang w:eastAsia="es-CO"/>
          <w14:ligatures w14:val="none"/>
        </w:rPr>
        <w:t>CAF ha incorporado progresivamente el enfoque de inclusión dentro de sus programas educativos, promoviendo acciones orientadas a ampliar las oportunidades de acceso para poblaciones tradicionalmente excluidas.</w:t>
      </w:r>
    </w:p>
    <w:p w14:paraId="3AC4B2DF" w14:textId="77777777" w:rsidR="008E1DDB" w:rsidRPr="00721F40" w:rsidRDefault="008E1DDB" w:rsidP="008E1DDB">
      <w:p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721F40">
        <w:rPr>
          <w:rFonts w:ascii="Times New Roman" w:eastAsia="Times New Roman" w:hAnsi="Times New Roman" w:cs="Times New Roman"/>
          <w:kern w:val="0"/>
          <w:sz w:val="24"/>
          <w:szCs w:val="24"/>
          <w:highlight w:val="yellow"/>
          <w:lang w:eastAsia="es-CO"/>
          <w14:ligatures w14:val="none"/>
        </w:rPr>
        <w:t>Sin embargo, las desigualdades sociales, territoriales y económicas continúan representando uno de los mayores desafíos para la educación superior latinoamericana. Aunque los proyectos financiados contribuyen a reducir algunas barreras, el impacto estructural depende principalmente de las políticas nacionales de financiamiento educativo.</w:t>
      </w:r>
    </w:p>
    <w:p w14:paraId="270EDA52" w14:textId="77777777" w:rsidR="008E1DDB" w:rsidRPr="00721F40" w:rsidRDefault="008E1DDB" w:rsidP="008E1DDB">
      <w:p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721F40">
        <w:rPr>
          <w:rFonts w:ascii="Times New Roman" w:eastAsia="Times New Roman" w:hAnsi="Times New Roman" w:cs="Times New Roman"/>
          <w:kern w:val="0"/>
          <w:sz w:val="24"/>
          <w:szCs w:val="24"/>
          <w:highlight w:val="yellow"/>
          <w:lang w:eastAsia="es-CO"/>
          <w14:ligatures w14:val="none"/>
        </w:rPr>
        <w:t>En este sentido, CAF podría fortalecer su liderazgo impulsando programas regionales orientados específicamente a:</w:t>
      </w:r>
    </w:p>
    <w:p w14:paraId="7FDA564D" w14:textId="77777777" w:rsidR="008E1DDB" w:rsidRPr="00721F40" w:rsidRDefault="008E1DDB" w:rsidP="008E1DDB">
      <w:pPr>
        <w:numPr>
          <w:ilvl w:val="0"/>
          <w:numId w:val="4"/>
        </w:num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721F40">
        <w:rPr>
          <w:rFonts w:ascii="Times New Roman" w:eastAsia="Times New Roman" w:hAnsi="Times New Roman" w:cs="Times New Roman"/>
          <w:kern w:val="0"/>
          <w:sz w:val="24"/>
          <w:szCs w:val="24"/>
          <w:highlight w:val="yellow"/>
          <w:lang w:eastAsia="es-CO"/>
          <w14:ligatures w14:val="none"/>
        </w:rPr>
        <w:t xml:space="preserve">acceso de estudiantes rurales e indígenas a la educación superior; </w:t>
      </w:r>
    </w:p>
    <w:p w14:paraId="762DB1FE" w14:textId="77777777" w:rsidR="008E1DDB" w:rsidRPr="00721F40" w:rsidRDefault="008E1DDB" w:rsidP="008E1DDB">
      <w:pPr>
        <w:numPr>
          <w:ilvl w:val="0"/>
          <w:numId w:val="4"/>
        </w:num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721F40">
        <w:rPr>
          <w:rFonts w:ascii="Times New Roman" w:eastAsia="Times New Roman" w:hAnsi="Times New Roman" w:cs="Times New Roman"/>
          <w:kern w:val="0"/>
          <w:sz w:val="24"/>
          <w:szCs w:val="24"/>
          <w:highlight w:val="yellow"/>
          <w:lang w:eastAsia="es-CO"/>
          <w14:ligatures w14:val="none"/>
        </w:rPr>
        <w:t xml:space="preserve">fortalecimiento de universidades públicas regionales; </w:t>
      </w:r>
    </w:p>
    <w:p w14:paraId="52125E60" w14:textId="77777777" w:rsidR="008E1DDB" w:rsidRPr="00721F40" w:rsidRDefault="008E1DDB" w:rsidP="008E1DDB">
      <w:pPr>
        <w:numPr>
          <w:ilvl w:val="0"/>
          <w:numId w:val="4"/>
        </w:num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721F40">
        <w:rPr>
          <w:rFonts w:ascii="Times New Roman" w:eastAsia="Times New Roman" w:hAnsi="Times New Roman" w:cs="Times New Roman"/>
          <w:kern w:val="0"/>
          <w:sz w:val="24"/>
          <w:szCs w:val="24"/>
          <w:highlight w:val="yellow"/>
          <w:lang w:eastAsia="es-CO"/>
          <w14:ligatures w14:val="none"/>
        </w:rPr>
        <w:t xml:space="preserve">ampliación de programas de becas y movilidad académica; </w:t>
      </w:r>
    </w:p>
    <w:p w14:paraId="25BB6184" w14:textId="77777777" w:rsidR="008E1DDB" w:rsidRPr="00721F40" w:rsidRDefault="008E1DDB" w:rsidP="008E1DDB">
      <w:pPr>
        <w:numPr>
          <w:ilvl w:val="0"/>
          <w:numId w:val="4"/>
        </w:num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721F40">
        <w:rPr>
          <w:rFonts w:ascii="Times New Roman" w:eastAsia="Times New Roman" w:hAnsi="Times New Roman" w:cs="Times New Roman"/>
          <w:kern w:val="0"/>
          <w:sz w:val="24"/>
          <w:szCs w:val="24"/>
          <w:highlight w:val="yellow"/>
          <w:lang w:eastAsia="es-CO"/>
          <w14:ligatures w14:val="none"/>
        </w:rPr>
        <w:t xml:space="preserve">desarrollo de competencias para la economía digital; </w:t>
      </w:r>
    </w:p>
    <w:p w14:paraId="2098DA39" w14:textId="77777777" w:rsidR="008E1DDB" w:rsidRPr="002C0841" w:rsidRDefault="008E1DDB" w:rsidP="008E1DDB">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721F40">
        <w:rPr>
          <w:rFonts w:ascii="Times New Roman" w:eastAsia="Times New Roman" w:hAnsi="Times New Roman" w:cs="Times New Roman"/>
          <w:kern w:val="0"/>
          <w:sz w:val="24"/>
          <w:szCs w:val="24"/>
          <w:highlight w:val="yellow"/>
          <w:lang w:eastAsia="es-CO"/>
          <w14:ligatures w14:val="none"/>
        </w:rPr>
        <w:t>formación en inteligencia artificial, ciencia de datos y tecnologías emergentes.</w:t>
      </w:r>
      <w:r w:rsidRPr="002C0841">
        <w:rPr>
          <w:rFonts w:ascii="Times New Roman" w:eastAsia="Times New Roman" w:hAnsi="Times New Roman" w:cs="Times New Roman"/>
          <w:kern w:val="0"/>
          <w:sz w:val="24"/>
          <w:szCs w:val="24"/>
          <w:lang w:eastAsia="es-CO"/>
          <w14:ligatures w14:val="none"/>
        </w:rPr>
        <w:t xml:space="preserve"> </w:t>
      </w:r>
    </w:p>
    <w:p w14:paraId="22F88B4F" w14:textId="77777777" w:rsidR="008E1DDB" w:rsidRPr="002C0841" w:rsidRDefault="008E1DDB" w:rsidP="008E1DDB">
      <w:pPr>
        <w:spacing w:before="100" w:beforeAutospacing="1" w:after="100" w:afterAutospacing="1" w:line="240" w:lineRule="auto"/>
        <w:outlineLvl w:val="2"/>
        <w:rPr>
          <w:rFonts w:ascii="Times New Roman" w:eastAsia="Times New Roman" w:hAnsi="Times New Roman" w:cs="Times New Roman"/>
          <w:b/>
          <w:bCs/>
          <w:kern w:val="0"/>
          <w:sz w:val="27"/>
          <w:szCs w:val="27"/>
          <w:lang w:eastAsia="es-CO"/>
          <w14:ligatures w14:val="none"/>
        </w:rPr>
      </w:pPr>
      <w:r w:rsidRPr="002C0841">
        <w:rPr>
          <w:rFonts w:ascii="Times New Roman" w:eastAsia="Times New Roman" w:hAnsi="Times New Roman" w:cs="Times New Roman"/>
          <w:b/>
          <w:bCs/>
          <w:kern w:val="0"/>
          <w:sz w:val="27"/>
          <w:szCs w:val="27"/>
          <w:lang w:eastAsia="es-CO"/>
          <w14:ligatures w14:val="none"/>
        </w:rPr>
        <w:t>Valoración crítica del componente de educación superior</w:t>
      </w:r>
    </w:p>
    <w:p w14:paraId="34051DEE" w14:textId="77777777" w:rsidR="008E1DDB" w:rsidRPr="00DC16FD" w:rsidRDefault="008E1DDB" w:rsidP="008E1DDB">
      <w:p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2C0841">
        <w:rPr>
          <w:rFonts w:ascii="Times New Roman" w:eastAsia="Times New Roman" w:hAnsi="Times New Roman" w:cs="Times New Roman"/>
          <w:kern w:val="0"/>
          <w:sz w:val="24"/>
          <w:szCs w:val="24"/>
          <w:lang w:eastAsia="es-CO"/>
          <w14:ligatures w14:val="none"/>
        </w:rPr>
        <w:t xml:space="preserve">En términos generales, las acciones desarrolladas por CAF muestran una evolución favorable </w:t>
      </w:r>
      <w:r w:rsidRPr="00DC16FD">
        <w:rPr>
          <w:rFonts w:ascii="Times New Roman" w:eastAsia="Times New Roman" w:hAnsi="Times New Roman" w:cs="Times New Roman"/>
          <w:kern w:val="0"/>
          <w:sz w:val="24"/>
          <w:szCs w:val="24"/>
          <w:highlight w:val="yellow"/>
          <w:lang w:eastAsia="es-CO"/>
          <w14:ligatures w14:val="none"/>
        </w:rPr>
        <w:t>hacia una concepción moderna de la educación superior, entendida como motor del desarrollo económico y social. No obstante, el análisis permite identificar cuatro oportunidades de mejora:</w:t>
      </w:r>
    </w:p>
    <w:p w14:paraId="435A1132" w14:textId="77777777" w:rsidR="008E1DDB" w:rsidRPr="00DC16FD" w:rsidRDefault="008E1DDB" w:rsidP="008E1DDB">
      <w:pPr>
        <w:numPr>
          <w:ilvl w:val="0"/>
          <w:numId w:val="5"/>
        </w:num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DC16FD">
        <w:rPr>
          <w:rFonts w:ascii="Times New Roman" w:eastAsia="Times New Roman" w:hAnsi="Times New Roman" w:cs="Times New Roman"/>
          <w:b/>
          <w:bCs/>
          <w:kern w:val="0"/>
          <w:sz w:val="24"/>
          <w:szCs w:val="24"/>
          <w:highlight w:val="yellow"/>
          <w:lang w:eastAsia="es-CO"/>
          <w14:ligatures w14:val="none"/>
        </w:rPr>
        <w:t>Fortalecer los sistemas de evaluación de impacto</w:t>
      </w:r>
      <w:r w:rsidRPr="00DC16FD">
        <w:rPr>
          <w:rFonts w:ascii="Times New Roman" w:eastAsia="Times New Roman" w:hAnsi="Times New Roman" w:cs="Times New Roman"/>
          <w:kern w:val="0"/>
          <w:sz w:val="24"/>
          <w:szCs w:val="24"/>
          <w:highlight w:val="yellow"/>
          <w:lang w:eastAsia="es-CO"/>
          <w14:ligatures w14:val="none"/>
        </w:rPr>
        <w:t xml:space="preserve">, incorporando indicadores sobre empleabilidad, producción científica, innovación y transferencia de conocimiento. </w:t>
      </w:r>
    </w:p>
    <w:p w14:paraId="71528DEB" w14:textId="77777777" w:rsidR="008E1DDB" w:rsidRPr="00DC16FD" w:rsidRDefault="008E1DDB" w:rsidP="008E1DDB">
      <w:pPr>
        <w:numPr>
          <w:ilvl w:val="0"/>
          <w:numId w:val="5"/>
        </w:num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DC16FD">
        <w:rPr>
          <w:rFonts w:ascii="Times New Roman" w:eastAsia="Times New Roman" w:hAnsi="Times New Roman" w:cs="Times New Roman"/>
          <w:b/>
          <w:bCs/>
          <w:kern w:val="0"/>
          <w:sz w:val="24"/>
          <w:szCs w:val="24"/>
          <w:highlight w:val="yellow"/>
          <w:lang w:eastAsia="es-CO"/>
          <w14:ligatures w14:val="none"/>
        </w:rPr>
        <w:t>Incrementar el financiamiento para investigación aplicada</w:t>
      </w:r>
      <w:r w:rsidRPr="00DC16FD">
        <w:rPr>
          <w:rFonts w:ascii="Times New Roman" w:eastAsia="Times New Roman" w:hAnsi="Times New Roman" w:cs="Times New Roman"/>
          <w:kern w:val="0"/>
          <w:sz w:val="24"/>
          <w:szCs w:val="24"/>
          <w:highlight w:val="yellow"/>
          <w:lang w:eastAsia="es-CO"/>
          <w14:ligatures w14:val="none"/>
        </w:rPr>
        <w:t xml:space="preserve">, especialmente en áreas prioritarias para el desarrollo sostenible de la región. </w:t>
      </w:r>
    </w:p>
    <w:p w14:paraId="071B59A6" w14:textId="77777777" w:rsidR="008E1DDB" w:rsidRPr="00DC16FD" w:rsidRDefault="008E1DDB" w:rsidP="008E1DDB">
      <w:pPr>
        <w:numPr>
          <w:ilvl w:val="0"/>
          <w:numId w:val="5"/>
        </w:num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DC16FD">
        <w:rPr>
          <w:rFonts w:ascii="Times New Roman" w:eastAsia="Times New Roman" w:hAnsi="Times New Roman" w:cs="Times New Roman"/>
          <w:b/>
          <w:bCs/>
          <w:kern w:val="0"/>
          <w:sz w:val="24"/>
          <w:szCs w:val="24"/>
          <w:highlight w:val="yellow"/>
          <w:lang w:eastAsia="es-CO"/>
          <w14:ligatures w14:val="none"/>
        </w:rPr>
        <w:t>Promover una mayor vinculación universidad–empresa–Estado</w:t>
      </w:r>
      <w:r w:rsidRPr="00DC16FD">
        <w:rPr>
          <w:rFonts w:ascii="Times New Roman" w:eastAsia="Times New Roman" w:hAnsi="Times New Roman" w:cs="Times New Roman"/>
          <w:kern w:val="0"/>
          <w:sz w:val="24"/>
          <w:szCs w:val="24"/>
          <w:highlight w:val="yellow"/>
          <w:lang w:eastAsia="es-CO"/>
          <w14:ligatures w14:val="none"/>
        </w:rPr>
        <w:t xml:space="preserve">, favoreciendo ecosistemas de innovación y emprendimiento de base tecnológica. </w:t>
      </w:r>
    </w:p>
    <w:p w14:paraId="3F4AF0B9" w14:textId="77777777" w:rsidR="008E1DDB" w:rsidRPr="00DC16FD" w:rsidRDefault="008E1DDB" w:rsidP="008E1DDB">
      <w:pPr>
        <w:numPr>
          <w:ilvl w:val="0"/>
          <w:numId w:val="5"/>
        </w:num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DC16FD">
        <w:rPr>
          <w:rFonts w:ascii="Times New Roman" w:eastAsia="Times New Roman" w:hAnsi="Times New Roman" w:cs="Times New Roman"/>
          <w:b/>
          <w:bCs/>
          <w:kern w:val="0"/>
          <w:sz w:val="24"/>
          <w:szCs w:val="24"/>
          <w:highlight w:val="yellow"/>
          <w:lang w:eastAsia="es-CO"/>
          <w14:ligatures w14:val="none"/>
        </w:rPr>
        <w:t>Consolidar programas regionales de largo plazo</w:t>
      </w:r>
      <w:r w:rsidRPr="00DC16FD">
        <w:rPr>
          <w:rFonts w:ascii="Times New Roman" w:eastAsia="Times New Roman" w:hAnsi="Times New Roman" w:cs="Times New Roman"/>
          <w:kern w:val="0"/>
          <w:sz w:val="24"/>
          <w:szCs w:val="24"/>
          <w:highlight w:val="yellow"/>
          <w:lang w:eastAsia="es-CO"/>
          <w14:ligatures w14:val="none"/>
        </w:rPr>
        <w:t xml:space="preserve">, evitando que las iniciativas dependan exclusivamente de proyectos puntuales o de la disponibilidad temporal de recursos financieros. </w:t>
      </w:r>
    </w:p>
    <w:p w14:paraId="3901C49F" w14:textId="77777777" w:rsidR="008E1DDB" w:rsidRPr="002C0841"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2C0841">
        <w:rPr>
          <w:rFonts w:ascii="Times New Roman" w:eastAsia="Times New Roman" w:hAnsi="Times New Roman" w:cs="Times New Roman"/>
          <w:kern w:val="0"/>
          <w:sz w:val="24"/>
          <w:szCs w:val="24"/>
          <w:lang w:eastAsia="es-CO"/>
          <w14:ligatures w14:val="none"/>
        </w:rPr>
        <w:lastRenderedPageBreak/>
        <w:t>Estas acciones permitirían que CAF no solo continúe financiando proyectos educativos, sino que también consolide un papel más activo como articulador del ecosistema regional de conocimiento e innovación.</w:t>
      </w:r>
    </w:p>
    <w:p w14:paraId="13E0D252" w14:textId="77777777" w:rsidR="008E1DDB" w:rsidRPr="009B116C" w:rsidRDefault="008E1DDB" w:rsidP="008E1DDB">
      <w:pPr>
        <w:spacing w:before="100" w:beforeAutospacing="1" w:after="100" w:afterAutospacing="1" w:line="240" w:lineRule="auto"/>
        <w:outlineLvl w:val="1"/>
        <w:rPr>
          <w:rFonts w:ascii="Times New Roman" w:eastAsia="Times New Roman" w:hAnsi="Times New Roman" w:cs="Times New Roman"/>
          <w:b/>
          <w:bCs/>
          <w:kern w:val="0"/>
          <w:sz w:val="28"/>
          <w:szCs w:val="28"/>
          <w:lang w:eastAsia="es-CO"/>
          <w14:ligatures w14:val="none"/>
        </w:rPr>
      </w:pPr>
      <w:r w:rsidRPr="009B116C">
        <w:rPr>
          <w:rFonts w:ascii="Times New Roman" w:eastAsia="Times New Roman" w:hAnsi="Times New Roman" w:cs="Times New Roman"/>
          <w:b/>
          <w:bCs/>
          <w:kern w:val="0"/>
          <w:sz w:val="28"/>
          <w:szCs w:val="28"/>
          <w:lang w:eastAsia="es-CO"/>
          <w14:ligatures w14:val="none"/>
        </w:rPr>
        <w:t>6. Análisis crítico de las estrategias, programas y acciones de CAF en ciencia, tecnología e innovación (CTI)</w:t>
      </w:r>
    </w:p>
    <w:p w14:paraId="32F13D00" w14:textId="77777777" w:rsidR="008E1DDB" w:rsidRPr="00B621DF"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B621DF">
        <w:rPr>
          <w:rFonts w:ascii="Times New Roman" w:eastAsia="Times New Roman" w:hAnsi="Times New Roman" w:cs="Times New Roman"/>
          <w:kern w:val="0"/>
          <w:sz w:val="24"/>
          <w:szCs w:val="24"/>
          <w:lang w:eastAsia="es-CO"/>
          <w14:ligatures w14:val="none"/>
        </w:rPr>
        <w:t>La ciencia, la tecnología y la innovación (CTI) constituyen uno de los pilares fundamentales para el desarrollo económico sostenible, la diversificación productiva y el incremento de la competitividad de América Latina y el Caribe. Consciente de ello, durante el período 2021–2026 CAF fortaleció su apoyo a iniciativas orientadas a consolidar ecosistemas de innovación, promover la transformación digital, impulsar la investigación aplicada y mejorar las capacidades institucionales de los países de la región.</w:t>
      </w:r>
    </w:p>
    <w:p w14:paraId="6BBDFF17" w14:textId="77777777" w:rsidR="008E1DDB" w:rsidRPr="00B621DF"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D27107">
        <w:rPr>
          <w:rFonts w:ascii="Times New Roman" w:eastAsia="Times New Roman" w:hAnsi="Times New Roman" w:cs="Times New Roman"/>
          <w:kern w:val="0"/>
          <w:sz w:val="24"/>
          <w:szCs w:val="24"/>
          <w:highlight w:val="yellow"/>
          <w:lang w:eastAsia="es-CO"/>
          <w14:ligatures w14:val="none"/>
        </w:rPr>
        <w:t>Una de las principales fortalezas de la actuación de CAF ha sido adoptar una visión amplia de la innovación. En lugar de limitarla al desarrollo científico o tecnológico, la institución la concibe como un proceso transversal que involucra al Estado, las universidades, el sector productivo y la sociedad. Esta perspectiva favorece el diseño de políticas públicas más integrales y coherentes con los desafíos del desarrollo regional.</w:t>
      </w:r>
    </w:p>
    <w:p w14:paraId="72F00A3E" w14:textId="77777777" w:rsidR="008E1DDB" w:rsidRPr="00B621DF"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7D78C7">
        <w:rPr>
          <w:rFonts w:ascii="Times New Roman" w:eastAsia="Times New Roman" w:hAnsi="Times New Roman" w:cs="Times New Roman"/>
          <w:kern w:val="0"/>
          <w:sz w:val="24"/>
          <w:szCs w:val="24"/>
          <w:highlight w:val="yellow"/>
          <w:lang w:eastAsia="es-CO"/>
          <w14:ligatures w14:val="none"/>
        </w:rPr>
        <w:t>En este sentido, CAF ha promovido estudios, asistencia técnica y financiamiento para fortalecer sistemas nacionales de innovación, apoyar la transformación digital de las administraciones públicas y fomentar el emprendimiento de base tecnológica. Asimismo, ha impulsado espacios de diálogo regional que facilitan el intercambio de experiencias y la formulación de agendas comunes en materia de CTI.</w:t>
      </w:r>
    </w:p>
    <w:p w14:paraId="7DC5D425" w14:textId="77777777" w:rsidR="008E1DDB" w:rsidRPr="00B621DF"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B621DF">
        <w:rPr>
          <w:rFonts w:ascii="Times New Roman" w:eastAsia="Times New Roman" w:hAnsi="Times New Roman" w:cs="Times New Roman"/>
          <w:kern w:val="0"/>
          <w:sz w:val="24"/>
          <w:szCs w:val="24"/>
          <w:lang w:eastAsia="es-CO"/>
          <w14:ligatures w14:val="none"/>
        </w:rPr>
        <w:t>No obstante, el análisis evidencia que aún persisten desafíos importantes. América Latina continúa destinando un porcentaje reducido de su producto interno bruto a investigación y desarrollo, muy por debajo de los niveles observados en economías más avanzadas. Aunque CAF contribuye a movilizar recursos financieros y conocimiento técnico, su capacidad de incidencia depende en gran medida del compromiso de los gobiernos nacionales y de la estabilidad de las políticas públicas en cada país.</w:t>
      </w:r>
    </w:p>
    <w:p w14:paraId="296897BD" w14:textId="77777777" w:rsidR="008E1DDB" w:rsidRPr="00B621DF" w:rsidRDefault="008E1DDB" w:rsidP="008E1DDB">
      <w:pPr>
        <w:spacing w:before="100" w:beforeAutospacing="1" w:after="100" w:afterAutospacing="1" w:line="240" w:lineRule="auto"/>
        <w:outlineLvl w:val="2"/>
        <w:rPr>
          <w:rFonts w:ascii="Times New Roman" w:eastAsia="Times New Roman" w:hAnsi="Times New Roman" w:cs="Times New Roman"/>
          <w:b/>
          <w:bCs/>
          <w:kern w:val="0"/>
          <w:sz w:val="27"/>
          <w:szCs w:val="27"/>
          <w:lang w:eastAsia="es-CO"/>
          <w14:ligatures w14:val="none"/>
        </w:rPr>
      </w:pPr>
      <w:r w:rsidRPr="00B621DF">
        <w:rPr>
          <w:rFonts w:ascii="Times New Roman" w:eastAsia="Times New Roman" w:hAnsi="Times New Roman" w:cs="Times New Roman"/>
          <w:b/>
          <w:bCs/>
          <w:kern w:val="0"/>
          <w:sz w:val="27"/>
          <w:szCs w:val="27"/>
          <w:lang w:eastAsia="es-CO"/>
          <w14:ligatures w14:val="none"/>
        </w:rPr>
        <w:t>Fortalecimiento de los ecosistemas de innovación</w:t>
      </w:r>
    </w:p>
    <w:p w14:paraId="2C91F0B9" w14:textId="77777777" w:rsidR="008E1DDB" w:rsidRPr="00B621DF"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B67C44">
        <w:rPr>
          <w:rFonts w:ascii="Times New Roman" w:eastAsia="Times New Roman" w:hAnsi="Times New Roman" w:cs="Times New Roman"/>
          <w:kern w:val="0"/>
          <w:sz w:val="24"/>
          <w:szCs w:val="24"/>
          <w:highlight w:val="yellow"/>
          <w:lang w:eastAsia="es-CO"/>
          <w14:ligatures w14:val="none"/>
        </w:rPr>
        <w:t>CAF ha promovido la consolidación de ecosistemas de innovación mediante el apoyo a centros de investigación, parques tecnológicos, incubadoras de empresas y programas de emprendimiento innovador. Estas acciones buscan fortalecer la interacción entre universidades, empresas y gobiernos, reconociendo que la generación de conocimiento solo produce impactos significativos cuando logra transformarse en innovación productiva y social.</w:t>
      </w:r>
    </w:p>
    <w:p w14:paraId="75CCB27C" w14:textId="77777777" w:rsidR="008E1DDB" w:rsidRPr="00B621DF"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B621DF">
        <w:rPr>
          <w:rFonts w:ascii="Times New Roman" w:eastAsia="Times New Roman" w:hAnsi="Times New Roman" w:cs="Times New Roman"/>
          <w:kern w:val="0"/>
          <w:sz w:val="24"/>
          <w:szCs w:val="24"/>
          <w:lang w:eastAsia="es-CO"/>
          <w14:ligatures w14:val="none"/>
        </w:rPr>
        <w:t xml:space="preserve">Desde una perspectiva crítica, esta orientación resulta pertinente; sin embargo, la cobertura de estos programas aún es limitada frente a la magnitud de las necesidades regionales. Muchos de los proyectos se concentran en países o ciudades con mayores capacidades </w:t>
      </w:r>
      <w:r w:rsidRPr="00B621DF">
        <w:rPr>
          <w:rFonts w:ascii="Times New Roman" w:eastAsia="Times New Roman" w:hAnsi="Times New Roman" w:cs="Times New Roman"/>
          <w:kern w:val="0"/>
          <w:sz w:val="24"/>
          <w:szCs w:val="24"/>
          <w:lang w:eastAsia="es-CO"/>
          <w14:ligatures w14:val="none"/>
        </w:rPr>
        <w:lastRenderedPageBreak/>
        <w:t>institucionales, mientras que los territorios con menores niveles de desarrollo científico y tecnológico enfrentan mayores dificultades para acceder a este tipo de iniciativas.</w:t>
      </w:r>
    </w:p>
    <w:p w14:paraId="48E8319D" w14:textId="77777777" w:rsidR="008E1DDB" w:rsidRPr="00B621DF"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B621DF">
        <w:rPr>
          <w:rFonts w:ascii="Times New Roman" w:eastAsia="Times New Roman" w:hAnsi="Times New Roman" w:cs="Times New Roman"/>
          <w:kern w:val="0"/>
          <w:sz w:val="24"/>
          <w:szCs w:val="24"/>
          <w:lang w:eastAsia="es-CO"/>
          <w14:ligatures w14:val="none"/>
        </w:rPr>
        <w:t>Una oportunidad de mejora consiste en diseñar programas diferenciados que atiendan las distintas capacidades de los países y regiones, favoreciendo una distribución más equilibrada de los beneficios derivados de la inversión en CTI.</w:t>
      </w:r>
    </w:p>
    <w:p w14:paraId="0EC4238A" w14:textId="77777777" w:rsidR="008E1DDB" w:rsidRPr="00B621DF" w:rsidRDefault="008E1DDB" w:rsidP="008E1DDB">
      <w:pPr>
        <w:spacing w:before="100" w:beforeAutospacing="1" w:after="100" w:afterAutospacing="1" w:line="240" w:lineRule="auto"/>
        <w:outlineLvl w:val="2"/>
        <w:rPr>
          <w:rFonts w:ascii="Times New Roman" w:eastAsia="Times New Roman" w:hAnsi="Times New Roman" w:cs="Times New Roman"/>
          <w:b/>
          <w:bCs/>
          <w:kern w:val="0"/>
          <w:sz w:val="27"/>
          <w:szCs w:val="27"/>
          <w:lang w:eastAsia="es-CO"/>
          <w14:ligatures w14:val="none"/>
        </w:rPr>
      </w:pPr>
      <w:r w:rsidRPr="00B621DF">
        <w:rPr>
          <w:rFonts w:ascii="Times New Roman" w:eastAsia="Times New Roman" w:hAnsi="Times New Roman" w:cs="Times New Roman"/>
          <w:b/>
          <w:bCs/>
          <w:kern w:val="0"/>
          <w:sz w:val="27"/>
          <w:szCs w:val="27"/>
          <w:lang w:eastAsia="es-CO"/>
          <w14:ligatures w14:val="none"/>
        </w:rPr>
        <w:t>Transformación digital e innovación pública</w:t>
      </w:r>
    </w:p>
    <w:p w14:paraId="15940DE6" w14:textId="77777777" w:rsidR="008E1DDB" w:rsidRPr="00B621DF"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B621DF">
        <w:rPr>
          <w:rFonts w:ascii="Times New Roman" w:eastAsia="Times New Roman" w:hAnsi="Times New Roman" w:cs="Times New Roman"/>
          <w:kern w:val="0"/>
          <w:sz w:val="24"/>
          <w:szCs w:val="24"/>
          <w:lang w:eastAsia="es-CO"/>
          <w14:ligatures w14:val="none"/>
        </w:rPr>
        <w:t>Otro ámbito en el que CAF ha incrementado su presencia es el fortalecimiento de la transformación digital del sector público. La institución ha apoyado proyectos relacionados con gobierno digital, interoperabilidad de sistemas de información, servicios públicos digitales y fortalecimiento de capacidades tecnológicas en las administraciones nacionales.</w:t>
      </w:r>
    </w:p>
    <w:p w14:paraId="6BE5DCD6" w14:textId="77777777" w:rsidR="008E1DDB" w:rsidRPr="00B621DF"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B621DF">
        <w:rPr>
          <w:rFonts w:ascii="Times New Roman" w:eastAsia="Times New Roman" w:hAnsi="Times New Roman" w:cs="Times New Roman"/>
          <w:kern w:val="0"/>
          <w:sz w:val="24"/>
          <w:szCs w:val="24"/>
          <w:lang w:eastAsia="es-CO"/>
          <w14:ligatures w14:val="none"/>
        </w:rPr>
        <w:t>Estas iniciativas contribuyen a mejorar la eficiencia institucional y la transparencia, además de facilitar el acceso de la ciudadanía a servicios públicos. Sin embargo, su sostenibilidad requiere inversiones continuas en infraestructura tecnológica, ciberseguridad, actualización normativa y formación del talento humano.</w:t>
      </w:r>
    </w:p>
    <w:p w14:paraId="6C55E4FE" w14:textId="77777777" w:rsidR="008E1DDB" w:rsidRPr="00B621DF"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B621DF">
        <w:rPr>
          <w:rFonts w:ascii="Times New Roman" w:eastAsia="Times New Roman" w:hAnsi="Times New Roman" w:cs="Times New Roman"/>
          <w:kern w:val="0"/>
          <w:sz w:val="24"/>
          <w:szCs w:val="24"/>
          <w:lang w:eastAsia="es-CO"/>
          <w14:ligatures w14:val="none"/>
        </w:rPr>
        <w:t>En este aspecto, CAF podría desempeñar un papel aún más relevante promoviendo estándares regionales para la gobernanza digital, el uso ético de la inteligencia artificial y la protección de datos personales, temas que adquieren creciente importancia en el contexto de la transformación digital.</w:t>
      </w:r>
    </w:p>
    <w:p w14:paraId="363EC9CD" w14:textId="77777777" w:rsidR="008E1DDB" w:rsidRPr="00B621DF" w:rsidRDefault="008E1DDB" w:rsidP="008E1DDB">
      <w:pPr>
        <w:spacing w:before="100" w:beforeAutospacing="1" w:after="100" w:afterAutospacing="1" w:line="240" w:lineRule="auto"/>
        <w:outlineLvl w:val="2"/>
        <w:rPr>
          <w:rFonts w:ascii="Times New Roman" w:eastAsia="Times New Roman" w:hAnsi="Times New Roman" w:cs="Times New Roman"/>
          <w:b/>
          <w:bCs/>
          <w:kern w:val="0"/>
          <w:sz w:val="27"/>
          <w:szCs w:val="27"/>
          <w:lang w:eastAsia="es-CO"/>
          <w14:ligatures w14:val="none"/>
        </w:rPr>
      </w:pPr>
      <w:r w:rsidRPr="00B621DF">
        <w:rPr>
          <w:rFonts w:ascii="Times New Roman" w:eastAsia="Times New Roman" w:hAnsi="Times New Roman" w:cs="Times New Roman"/>
          <w:b/>
          <w:bCs/>
          <w:kern w:val="0"/>
          <w:sz w:val="27"/>
          <w:szCs w:val="27"/>
          <w:lang w:eastAsia="es-CO"/>
          <w14:ligatures w14:val="none"/>
        </w:rPr>
        <w:t>Ciencia para el desarrollo sostenible</w:t>
      </w:r>
    </w:p>
    <w:p w14:paraId="21D09C1C" w14:textId="77777777" w:rsidR="008E1DDB" w:rsidRPr="00B621DF"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DD265B">
        <w:rPr>
          <w:rFonts w:ascii="Times New Roman" w:eastAsia="Times New Roman" w:hAnsi="Times New Roman" w:cs="Times New Roman"/>
          <w:kern w:val="0"/>
          <w:sz w:val="24"/>
          <w:szCs w:val="24"/>
          <w:highlight w:val="yellow"/>
          <w:lang w:eastAsia="es-CO"/>
          <w14:ligatures w14:val="none"/>
        </w:rPr>
        <w:t>Las publicaciones técnicas y los programas impulsados por CAF muestran una creciente preocupación por orientar la investigación científica hacia la solución de problemas sociales, económicos y ambientales. Este enfoque resulta consistente con la Agenda 2030 y con los Objetivos de Desarrollo Sostenible, particularmente aquellos relacionados con educación de calidad, innovación, acción climática y reducción de desigualdades.</w:t>
      </w:r>
    </w:p>
    <w:p w14:paraId="5B01A175" w14:textId="77777777" w:rsidR="008E1DDB" w:rsidRPr="00B621DF"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B621DF">
        <w:rPr>
          <w:rFonts w:ascii="Times New Roman" w:eastAsia="Times New Roman" w:hAnsi="Times New Roman" w:cs="Times New Roman"/>
          <w:kern w:val="0"/>
          <w:sz w:val="24"/>
          <w:szCs w:val="24"/>
          <w:lang w:eastAsia="es-CO"/>
          <w14:ligatures w14:val="none"/>
        </w:rPr>
        <w:t>Sin embargo, aún es necesario fortalecer los mecanismos que permitan evaluar cómo el conocimiento generado mediante estas iniciativas influye efectivamente en la formulación de políticas públicas, la productividad empresarial y el bienestar de la población. La construcción de indicadores de impacto científico y tecnológico representa una oportunidad para incrementar la efectividad de las intervenciones futuras.</w:t>
      </w:r>
    </w:p>
    <w:p w14:paraId="689BE3B0" w14:textId="77777777" w:rsidR="008E1DDB" w:rsidRPr="009B116C" w:rsidRDefault="008E1DDB" w:rsidP="008E1DDB">
      <w:pPr>
        <w:spacing w:before="100" w:beforeAutospacing="1" w:after="100" w:afterAutospacing="1" w:line="240" w:lineRule="auto"/>
        <w:outlineLvl w:val="1"/>
        <w:rPr>
          <w:rFonts w:ascii="Times New Roman" w:eastAsia="Times New Roman" w:hAnsi="Times New Roman" w:cs="Times New Roman"/>
          <w:b/>
          <w:bCs/>
          <w:kern w:val="0"/>
          <w:sz w:val="28"/>
          <w:szCs w:val="28"/>
          <w:lang w:eastAsia="es-CO"/>
          <w14:ligatures w14:val="none"/>
        </w:rPr>
      </w:pPr>
      <w:r w:rsidRPr="009B116C">
        <w:rPr>
          <w:rFonts w:ascii="Times New Roman" w:eastAsia="Times New Roman" w:hAnsi="Times New Roman" w:cs="Times New Roman"/>
          <w:b/>
          <w:bCs/>
          <w:kern w:val="0"/>
          <w:sz w:val="28"/>
          <w:szCs w:val="28"/>
          <w:lang w:eastAsia="es-CO"/>
          <w14:ligatures w14:val="none"/>
        </w:rPr>
        <w:t>7. Fortalezas institucionales de CAF</w:t>
      </w:r>
    </w:p>
    <w:p w14:paraId="3F7ABD24" w14:textId="77777777" w:rsidR="008E1DDB" w:rsidRPr="00B621DF"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B621DF">
        <w:rPr>
          <w:rFonts w:ascii="Times New Roman" w:eastAsia="Times New Roman" w:hAnsi="Times New Roman" w:cs="Times New Roman"/>
          <w:kern w:val="0"/>
          <w:sz w:val="24"/>
          <w:szCs w:val="24"/>
          <w:lang w:eastAsia="es-CO"/>
          <w14:ligatures w14:val="none"/>
        </w:rPr>
        <w:t>El análisis realizado permite identificar varias fortalezas que explican el posicionamiento de CAF como uno de los principales bancos multilaterales de desarrollo de la región.</w:t>
      </w:r>
    </w:p>
    <w:p w14:paraId="62B6DEA0" w14:textId="77777777" w:rsidR="008E1DDB" w:rsidRPr="00B621DF"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B621DF">
        <w:rPr>
          <w:rFonts w:ascii="Times New Roman" w:eastAsia="Times New Roman" w:hAnsi="Times New Roman" w:cs="Times New Roman"/>
          <w:kern w:val="0"/>
          <w:sz w:val="24"/>
          <w:szCs w:val="24"/>
          <w:lang w:eastAsia="es-CO"/>
          <w14:ligatures w14:val="none"/>
        </w:rPr>
        <w:t xml:space="preserve">En primer lugar, destaca su </w:t>
      </w:r>
      <w:r w:rsidRPr="00B621DF">
        <w:rPr>
          <w:rFonts w:ascii="Times New Roman" w:eastAsia="Times New Roman" w:hAnsi="Times New Roman" w:cs="Times New Roman"/>
          <w:b/>
          <w:bCs/>
          <w:kern w:val="0"/>
          <w:sz w:val="24"/>
          <w:szCs w:val="24"/>
          <w:lang w:eastAsia="es-CO"/>
          <w14:ligatures w14:val="none"/>
        </w:rPr>
        <w:t>visión integral del desarrollo</w:t>
      </w:r>
      <w:r w:rsidRPr="00B621DF">
        <w:rPr>
          <w:rFonts w:ascii="Times New Roman" w:eastAsia="Times New Roman" w:hAnsi="Times New Roman" w:cs="Times New Roman"/>
          <w:kern w:val="0"/>
          <w:sz w:val="24"/>
          <w:szCs w:val="24"/>
          <w:lang w:eastAsia="es-CO"/>
          <w14:ligatures w14:val="none"/>
        </w:rPr>
        <w:t xml:space="preserve">, que articula educación, innovación, infraestructura, sostenibilidad ambiental e inclusión social. Este enfoque </w:t>
      </w:r>
      <w:r w:rsidRPr="00B621DF">
        <w:rPr>
          <w:rFonts w:ascii="Times New Roman" w:eastAsia="Times New Roman" w:hAnsi="Times New Roman" w:cs="Times New Roman"/>
          <w:kern w:val="0"/>
          <w:sz w:val="24"/>
          <w:szCs w:val="24"/>
          <w:lang w:eastAsia="es-CO"/>
          <w14:ligatures w14:val="none"/>
        </w:rPr>
        <w:lastRenderedPageBreak/>
        <w:t>facilita la formulación de proyectos multidimensionales y favorece la generación de impactos más amplios que aquellos derivados de intervenciones sectoriales aisladas.</w:t>
      </w:r>
    </w:p>
    <w:p w14:paraId="1C878415" w14:textId="77777777" w:rsidR="008E1DDB" w:rsidRPr="00B621DF"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B621DF">
        <w:rPr>
          <w:rFonts w:ascii="Times New Roman" w:eastAsia="Times New Roman" w:hAnsi="Times New Roman" w:cs="Times New Roman"/>
          <w:kern w:val="0"/>
          <w:sz w:val="24"/>
          <w:szCs w:val="24"/>
          <w:lang w:eastAsia="es-CO"/>
          <w14:ligatures w14:val="none"/>
        </w:rPr>
        <w:t xml:space="preserve">En segundo lugar, la institución ha consolidado una importante capacidad para </w:t>
      </w:r>
      <w:r w:rsidRPr="00B621DF">
        <w:rPr>
          <w:rFonts w:ascii="Times New Roman" w:eastAsia="Times New Roman" w:hAnsi="Times New Roman" w:cs="Times New Roman"/>
          <w:b/>
          <w:bCs/>
          <w:kern w:val="0"/>
          <w:sz w:val="24"/>
          <w:szCs w:val="24"/>
          <w:lang w:eastAsia="es-CO"/>
          <w14:ligatures w14:val="none"/>
        </w:rPr>
        <w:t>generar conocimiento técnico</w:t>
      </w:r>
      <w:r w:rsidRPr="00B621DF">
        <w:rPr>
          <w:rFonts w:ascii="Times New Roman" w:eastAsia="Times New Roman" w:hAnsi="Times New Roman" w:cs="Times New Roman"/>
          <w:kern w:val="0"/>
          <w:sz w:val="24"/>
          <w:szCs w:val="24"/>
          <w:lang w:eastAsia="es-CO"/>
          <w14:ligatures w14:val="none"/>
        </w:rPr>
        <w:t xml:space="preserve"> mediante estudios, investigaciones y publicaciones especializadas. La producción académica de CAF constituye hoy una referencia para el diseño de políticas públicas en América Latina y el Caribe.</w:t>
      </w:r>
    </w:p>
    <w:p w14:paraId="15E2D8F2" w14:textId="77777777" w:rsidR="008E1DDB" w:rsidRPr="00B621DF"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B621DF">
        <w:rPr>
          <w:rFonts w:ascii="Times New Roman" w:eastAsia="Times New Roman" w:hAnsi="Times New Roman" w:cs="Times New Roman"/>
          <w:kern w:val="0"/>
          <w:sz w:val="24"/>
          <w:szCs w:val="24"/>
          <w:lang w:eastAsia="es-CO"/>
          <w14:ligatures w14:val="none"/>
        </w:rPr>
        <w:t xml:space="preserve">Otra fortaleza relevante es su capacidad para </w:t>
      </w:r>
      <w:r w:rsidRPr="00B621DF">
        <w:rPr>
          <w:rFonts w:ascii="Times New Roman" w:eastAsia="Times New Roman" w:hAnsi="Times New Roman" w:cs="Times New Roman"/>
          <w:b/>
          <w:bCs/>
          <w:kern w:val="0"/>
          <w:sz w:val="24"/>
          <w:szCs w:val="24"/>
          <w:lang w:eastAsia="es-CO"/>
          <w14:ligatures w14:val="none"/>
        </w:rPr>
        <w:t>movilizar recursos financieros</w:t>
      </w:r>
      <w:r w:rsidRPr="00B621DF">
        <w:rPr>
          <w:rFonts w:ascii="Times New Roman" w:eastAsia="Times New Roman" w:hAnsi="Times New Roman" w:cs="Times New Roman"/>
          <w:kern w:val="0"/>
          <w:sz w:val="24"/>
          <w:szCs w:val="24"/>
          <w:lang w:eastAsia="es-CO"/>
          <w14:ligatures w14:val="none"/>
        </w:rPr>
        <w:t xml:space="preserve"> y combinar préstamos, cooperación técnica y asistencia especializada. Esta flexibilidad permite adaptar las intervenciones a las necesidades específicas de cada país.</w:t>
      </w:r>
    </w:p>
    <w:p w14:paraId="3AA9820C" w14:textId="77777777" w:rsidR="008E1DDB" w:rsidRPr="00B621DF"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B621DF">
        <w:rPr>
          <w:rFonts w:ascii="Times New Roman" w:eastAsia="Times New Roman" w:hAnsi="Times New Roman" w:cs="Times New Roman"/>
          <w:kern w:val="0"/>
          <w:sz w:val="24"/>
          <w:szCs w:val="24"/>
          <w:lang w:eastAsia="es-CO"/>
          <w14:ligatures w14:val="none"/>
        </w:rPr>
        <w:t xml:space="preserve">Asimismo, CAF ha fortalecido su papel como espacio de </w:t>
      </w:r>
      <w:r w:rsidRPr="00B621DF">
        <w:rPr>
          <w:rFonts w:ascii="Times New Roman" w:eastAsia="Times New Roman" w:hAnsi="Times New Roman" w:cs="Times New Roman"/>
          <w:b/>
          <w:bCs/>
          <w:kern w:val="0"/>
          <w:sz w:val="24"/>
          <w:szCs w:val="24"/>
          <w:lang w:eastAsia="es-CO"/>
          <w14:ligatures w14:val="none"/>
        </w:rPr>
        <w:t>cooperación regional</w:t>
      </w:r>
      <w:r w:rsidRPr="00B621DF">
        <w:rPr>
          <w:rFonts w:ascii="Times New Roman" w:eastAsia="Times New Roman" w:hAnsi="Times New Roman" w:cs="Times New Roman"/>
          <w:kern w:val="0"/>
          <w:sz w:val="24"/>
          <w:szCs w:val="24"/>
          <w:lang w:eastAsia="es-CO"/>
          <w14:ligatures w14:val="none"/>
        </w:rPr>
        <w:t>, promoviendo el intercambio de experiencias, la construcción de agendas compartidas y el aprendizaje entre países.</w:t>
      </w:r>
    </w:p>
    <w:p w14:paraId="13EEE0CD" w14:textId="77777777" w:rsidR="008E1DDB" w:rsidRPr="00B621DF"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B621DF">
        <w:rPr>
          <w:rFonts w:ascii="Times New Roman" w:eastAsia="Times New Roman" w:hAnsi="Times New Roman" w:cs="Times New Roman"/>
          <w:kern w:val="0"/>
          <w:sz w:val="24"/>
          <w:szCs w:val="24"/>
          <w:lang w:eastAsia="es-CO"/>
          <w14:ligatures w14:val="none"/>
        </w:rPr>
        <w:t xml:space="preserve">Finalmente, merece reconocimiento su creciente compromiso con la </w:t>
      </w:r>
      <w:r w:rsidRPr="00B621DF">
        <w:rPr>
          <w:rFonts w:ascii="Times New Roman" w:eastAsia="Times New Roman" w:hAnsi="Times New Roman" w:cs="Times New Roman"/>
          <w:b/>
          <w:bCs/>
          <w:kern w:val="0"/>
          <w:sz w:val="24"/>
          <w:szCs w:val="24"/>
          <w:lang w:eastAsia="es-CO"/>
          <w14:ligatures w14:val="none"/>
        </w:rPr>
        <w:t>transformación digital</w:t>
      </w:r>
      <w:r w:rsidRPr="00B621DF">
        <w:rPr>
          <w:rFonts w:ascii="Times New Roman" w:eastAsia="Times New Roman" w:hAnsi="Times New Roman" w:cs="Times New Roman"/>
          <w:kern w:val="0"/>
          <w:sz w:val="24"/>
          <w:szCs w:val="24"/>
          <w:lang w:eastAsia="es-CO"/>
          <w14:ligatures w14:val="none"/>
        </w:rPr>
        <w:t>, la innovación educativa y el fortalecimiento de capacidades científicas y tecnológicas, ámbitos que adquieren una importancia estratégica para el desarrollo futuro de la región.</w:t>
      </w:r>
    </w:p>
    <w:p w14:paraId="4E32D52A" w14:textId="77777777" w:rsidR="008E1DDB" w:rsidRPr="009B116C" w:rsidRDefault="008E1DDB" w:rsidP="008E1DDB">
      <w:pPr>
        <w:spacing w:before="100" w:beforeAutospacing="1" w:after="100" w:afterAutospacing="1" w:line="240" w:lineRule="auto"/>
        <w:outlineLvl w:val="1"/>
        <w:rPr>
          <w:rFonts w:ascii="Times New Roman" w:eastAsia="Times New Roman" w:hAnsi="Times New Roman" w:cs="Times New Roman"/>
          <w:b/>
          <w:bCs/>
          <w:kern w:val="0"/>
          <w:sz w:val="28"/>
          <w:szCs w:val="28"/>
          <w:lang w:eastAsia="es-CO"/>
          <w14:ligatures w14:val="none"/>
        </w:rPr>
      </w:pPr>
      <w:r w:rsidRPr="009B116C">
        <w:rPr>
          <w:rFonts w:ascii="Times New Roman" w:eastAsia="Times New Roman" w:hAnsi="Times New Roman" w:cs="Times New Roman"/>
          <w:b/>
          <w:bCs/>
          <w:kern w:val="0"/>
          <w:sz w:val="28"/>
          <w:szCs w:val="28"/>
          <w:lang w:eastAsia="es-CO"/>
          <w14:ligatures w14:val="none"/>
        </w:rPr>
        <w:t>8. Debilidades y desafíos</w:t>
      </w:r>
    </w:p>
    <w:p w14:paraId="0F288B0C" w14:textId="77777777" w:rsidR="008E1DDB" w:rsidRPr="00B621DF"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B621DF">
        <w:rPr>
          <w:rFonts w:ascii="Times New Roman" w:eastAsia="Times New Roman" w:hAnsi="Times New Roman" w:cs="Times New Roman"/>
          <w:kern w:val="0"/>
          <w:sz w:val="24"/>
          <w:szCs w:val="24"/>
          <w:lang w:eastAsia="es-CO"/>
          <w14:ligatures w14:val="none"/>
        </w:rPr>
        <w:t>A pesar de los avances observados, el análisis también identifica diversas debilidades que limitan el impacto potencial de las intervenciones de CAF.</w:t>
      </w:r>
    </w:p>
    <w:p w14:paraId="216AF638" w14:textId="77777777" w:rsidR="008E1DDB" w:rsidRPr="00B621DF"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B621DF">
        <w:rPr>
          <w:rFonts w:ascii="Times New Roman" w:eastAsia="Times New Roman" w:hAnsi="Times New Roman" w:cs="Times New Roman"/>
          <w:kern w:val="0"/>
          <w:sz w:val="24"/>
          <w:szCs w:val="24"/>
          <w:lang w:eastAsia="es-CO"/>
          <w14:ligatures w14:val="none"/>
        </w:rPr>
        <w:t xml:space="preserve">La primera corresponde a la </w:t>
      </w:r>
      <w:r w:rsidRPr="00B621DF">
        <w:rPr>
          <w:rFonts w:ascii="Times New Roman" w:eastAsia="Times New Roman" w:hAnsi="Times New Roman" w:cs="Times New Roman"/>
          <w:b/>
          <w:bCs/>
          <w:kern w:val="0"/>
          <w:sz w:val="24"/>
          <w:szCs w:val="24"/>
          <w:lang w:eastAsia="es-CO"/>
          <w14:ligatures w14:val="none"/>
        </w:rPr>
        <w:t>insuficiente medición de resultados de largo plazo</w:t>
      </w:r>
      <w:r w:rsidRPr="00B621DF">
        <w:rPr>
          <w:rFonts w:ascii="Times New Roman" w:eastAsia="Times New Roman" w:hAnsi="Times New Roman" w:cs="Times New Roman"/>
          <w:kern w:val="0"/>
          <w:sz w:val="24"/>
          <w:szCs w:val="24"/>
          <w:lang w:eastAsia="es-CO"/>
          <w14:ligatures w14:val="none"/>
        </w:rPr>
        <w:t>. En numerosos proyectos predominan indicadores relacionados con la ejecución financiera y el cumplimiento de actividades, mientras que la evaluación de resultados educativos, científicos y tecnológicos continúa siendo limitada.</w:t>
      </w:r>
    </w:p>
    <w:p w14:paraId="1F74984A" w14:textId="77777777" w:rsidR="008E1DDB" w:rsidRPr="00B621DF"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B621DF">
        <w:rPr>
          <w:rFonts w:ascii="Times New Roman" w:eastAsia="Times New Roman" w:hAnsi="Times New Roman" w:cs="Times New Roman"/>
          <w:kern w:val="0"/>
          <w:sz w:val="24"/>
          <w:szCs w:val="24"/>
          <w:lang w:eastAsia="es-CO"/>
          <w14:ligatures w14:val="none"/>
        </w:rPr>
        <w:t xml:space="preserve">En segundo lugar, persiste una </w:t>
      </w:r>
      <w:r w:rsidRPr="00B621DF">
        <w:rPr>
          <w:rFonts w:ascii="Times New Roman" w:eastAsia="Times New Roman" w:hAnsi="Times New Roman" w:cs="Times New Roman"/>
          <w:b/>
          <w:bCs/>
          <w:kern w:val="0"/>
          <w:sz w:val="24"/>
          <w:szCs w:val="24"/>
          <w:lang w:eastAsia="es-CO"/>
          <w14:ligatures w14:val="none"/>
        </w:rPr>
        <w:t>heterogeneidad significativa</w:t>
      </w:r>
      <w:r w:rsidRPr="00B621DF">
        <w:rPr>
          <w:rFonts w:ascii="Times New Roman" w:eastAsia="Times New Roman" w:hAnsi="Times New Roman" w:cs="Times New Roman"/>
          <w:kern w:val="0"/>
          <w:sz w:val="24"/>
          <w:szCs w:val="24"/>
          <w:lang w:eastAsia="es-CO"/>
          <w14:ligatures w14:val="none"/>
        </w:rPr>
        <w:t xml:space="preserve"> en la capacidad institucional de los países beneficiarios. Las diferencias en gobernanza, estabilidad política y capacidad administrativa afectan la implementación de los proyectos y generan resultados desiguales.</w:t>
      </w:r>
    </w:p>
    <w:p w14:paraId="57030F78" w14:textId="77777777" w:rsidR="008E1DDB" w:rsidRPr="00B621DF"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B621DF">
        <w:rPr>
          <w:rFonts w:ascii="Times New Roman" w:eastAsia="Times New Roman" w:hAnsi="Times New Roman" w:cs="Times New Roman"/>
          <w:kern w:val="0"/>
          <w:sz w:val="24"/>
          <w:szCs w:val="24"/>
          <w:lang w:eastAsia="es-CO"/>
          <w14:ligatures w14:val="none"/>
        </w:rPr>
        <w:t xml:space="preserve">Otra limitación importante es la </w:t>
      </w:r>
      <w:r w:rsidRPr="00B621DF">
        <w:rPr>
          <w:rFonts w:ascii="Times New Roman" w:eastAsia="Times New Roman" w:hAnsi="Times New Roman" w:cs="Times New Roman"/>
          <w:b/>
          <w:bCs/>
          <w:kern w:val="0"/>
          <w:sz w:val="24"/>
          <w:szCs w:val="24"/>
          <w:lang w:eastAsia="es-CO"/>
          <w14:ligatures w14:val="none"/>
        </w:rPr>
        <w:t>escasa articulación sistemática entre educación, investigación e innovación productiva</w:t>
      </w:r>
      <w:r w:rsidRPr="00B621DF">
        <w:rPr>
          <w:rFonts w:ascii="Times New Roman" w:eastAsia="Times New Roman" w:hAnsi="Times New Roman" w:cs="Times New Roman"/>
          <w:kern w:val="0"/>
          <w:sz w:val="24"/>
          <w:szCs w:val="24"/>
          <w:lang w:eastAsia="es-CO"/>
          <w14:ligatures w14:val="none"/>
        </w:rPr>
        <w:t>. Aunque CAF reconoce la importancia de fortalecer la relación universidad–empresa–Estado, todavía existe un amplio margen para consolidar programas que promuevan la transferencia tecnológica y el aprovechamiento económico del conocimiento generado.</w:t>
      </w:r>
    </w:p>
    <w:p w14:paraId="2B755E77" w14:textId="77777777" w:rsidR="008E1DDB" w:rsidRPr="00B621DF"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B621DF">
        <w:rPr>
          <w:rFonts w:ascii="Times New Roman" w:eastAsia="Times New Roman" w:hAnsi="Times New Roman" w:cs="Times New Roman"/>
          <w:kern w:val="0"/>
          <w:sz w:val="24"/>
          <w:szCs w:val="24"/>
          <w:lang w:eastAsia="es-CO"/>
          <w14:ligatures w14:val="none"/>
        </w:rPr>
        <w:t>También se observa la necesidad de incrementar el apoyo a regiones con menores capacidades científicas y tecnológicas. La concentración de algunos programas en países con mayor desarrollo institucional puede profundizar las brechas existentes si no se implementan mecanismos de compensación territorial.</w:t>
      </w:r>
    </w:p>
    <w:p w14:paraId="50B5B5F9" w14:textId="77777777" w:rsidR="008E1DDB" w:rsidRPr="00B621DF"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B621DF">
        <w:rPr>
          <w:rFonts w:ascii="Times New Roman" w:eastAsia="Times New Roman" w:hAnsi="Times New Roman" w:cs="Times New Roman"/>
          <w:kern w:val="0"/>
          <w:sz w:val="24"/>
          <w:szCs w:val="24"/>
          <w:lang w:eastAsia="es-CO"/>
          <w14:ligatures w14:val="none"/>
        </w:rPr>
        <w:lastRenderedPageBreak/>
        <w:t>Finalmente, el rápido avance de tecnologías como la inteligencia artificial, la computación cuántica y la biotecnología plantea nuevos desafíos para los sistemas educativos y científicos de la región. CAF deberá continuar adaptando sus estrategias para responder oportunamente a estas transformaciones.</w:t>
      </w:r>
    </w:p>
    <w:p w14:paraId="6612FAE1" w14:textId="77777777" w:rsidR="008E1DDB" w:rsidRPr="009B116C" w:rsidRDefault="008E1DDB" w:rsidP="008E1DDB">
      <w:pPr>
        <w:spacing w:before="100" w:beforeAutospacing="1" w:after="100" w:afterAutospacing="1" w:line="240" w:lineRule="auto"/>
        <w:outlineLvl w:val="1"/>
        <w:rPr>
          <w:rFonts w:ascii="Times New Roman" w:eastAsia="Times New Roman" w:hAnsi="Times New Roman" w:cs="Times New Roman"/>
          <w:b/>
          <w:bCs/>
          <w:kern w:val="0"/>
          <w:sz w:val="28"/>
          <w:szCs w:val="28"/>
          <w:lang w:eastAsia="es-CO"/>
          <w14:ligatures w14:val="none"/>
        </w:rPr>
      </w:pPr>
      <w:r w:rsidRPr="009B116C">
        <w:rPr>
          <w:rFonts w:ascii="Times New Roman" w:eastAsia="Times New Roman" w:hAnsi="Times New Roman" w:cs="Times New Roman"/>
          <w:b/>
          <w:bCs/>
          <w:kern w:val="0"/>
          <w:sz w:val="28"/>
          <w:szCs w:val="28"/>
          <w:lang w:eastAsia="es-CO"/>
          <w14:ligatures w14:val="none"/>
        </w:rPr>
        <w:t>Síntesis crítica</w:t>
      </w:r>
    </w:p>
    <w:p w14:paraId="012F7963" w14:textId="77777777" w:rsidR="008E1DDB" w:rsidRPr="00B621DF"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1A0016">
        <w:rPr>
          <w:rFonts w:ascii="Times New Roman" w:eastAsia="Times New Roman" w:hAnsi="Times New Roman" w:cs="Times New Roman"/>
          <w:kern w:val="0"/>
          <w:sz w:val="24"/>
          <w:szCs w:val="24"/>
          <w:highlight w:val="yellow"/>
          <w:lang w:eastAsia="es-CO"/>
          <w14:ligatures w14:val="none"/>
        </w:rPr>
        <w:t xml:space="preserve">En términos generales, el balance de la actuación de CAF durante el período 2021–2026 es </w:t>
      </w:r>
      <w:r w:rsidRPr="001A0016">
        <w:rPr>
          <w:rFonts w:ascii="Times New Roman" w:eastAsia="Times New Roman" w:hAnsi="Times New Roman" w:cs="Times New Roman"/>
          <w:b/>
          <w:bCs/>
          <w:kern w:val="0"/>
          <w:sz w:val="24"/>
          <w:szCs w:val="24"/>
          <w:highlight w:val="yellow"/>
          <w:lang w:eastAsia="es-CO"/>
          <w14:ligatures w14:val="none"/>
        </w:rPr>
        <w:t>positivo</w:t>
      </w:r>
      <w:r w:rsidRPr="001A0016">
        <w:rPr>
          <w:rFonts w:ascii="Times New Roman" w:eastAsia="Times New Roman" w:hAnsi="Times New Roman" w:cs="Times New Roman"/>
          <w:kern w:val="0"/>
          <w:sz w:val="24"/>
          <w:szCs w:val="24"/>
          <w:highlight w:val="yellow"/>
          <w:lang w:eastAsia="es-CO"/>
          <w14:ligatures w14:val="none"/>
        </w:rPr>
        <w:t>. La institución ha demostrado capacidad para evolucionar desde un enfoque centrado en el financiamiento de infraestructura hacia una visión más amplia del desarrollo basada en el fortalecimiento del capital humano, la generación de conocimiento y la innovación.</w:t>
      </w:r>
    </w:p>
    <w:p w14:paraId="155070CE" w14:textId="77777777" w:rsidR="008E1DDB" w:rsidRPr="00A61075" w:rsidRDefault="008E1DDB" w:rsidP="008E1DDB">
      <w:p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A61075">
        <w:rPr>
          <w:rFonts w:ascii="Times New Roman" w:eastAsia="Times New Roman" w:hAnsi="Times New Roman" w:cs="Times New Roman"/>
          <w:kern w:val="0"/>
          <w:sz w:val="24"/>
          <w:szCs w:val="24"/>
          <w:highlight w:val="yellow"/>
          <w:lang w:eastAsia="es-CO"/>
          <w14:ligatures w14:val="none"/>
        </w:rPr>
        <w:t>No obstante, la consolidación de este nuevo modelo requiere avanzar en tres aspectos fundamentales:</w:t>
      </w:r>
    </w:p>
    <w:p w14:paraId="4A045E43" w14:textId="77777777" w:rsidR="008E1DDB" w:rsidRPr="00A61075" w:rsidRDefault="008E1DDB" w:rsidP="008E1DDB">
      <w:pPr>
        <w:numPr>
          <w:ilvl w:val="0"/>
          <w:numId w:val="6"/>
        </w:num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A61075">
        <w:rPr>
          <w:rFonts w:ascii="Times New Roman" w:eastAsia="Times New Roman" w:hAnsi="Times New Roman" w:cs="Times New Roman"/>
          <w:kern w:val="0"/>
          <w:sz w:val="24"/>
          <w:szCs w:val="24"/>
          <w:highlight w:val="yellow"/>
          <w:lang w:eastAsia="es-CO"/>
          <w14:ligatures w14:val="none"/>
        </w:rPr>
        <w:t xml:space="preserve">fortalecer los sistemas de evaluación de impacto, incorporando indicadores sobre aprendizaje, producción científica, innovación y desarrollo territorial; </w:t>
      </w:r>
    </w:p>
    <w:p w14:paraId="24A10400" w14:textId="77777777" w:rsidR="008E1DDB" w:rsidRPr="00A61075" w:rsidRDefault="008E1DDB" w:rsidP="008E1DDB">
      <w:pPr>
        <w:numPr>
          <w:ilvl w:val="0"/>
          <w:numId w:val="6"/>
        </w:num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A61075">
        <w:rPr>
          <w:rFonts w:ascii="Times New Roman" w:eastAsia="Times New Roman" w:hAnsi="Times New Roman" w:cs="Times New Roman"/>
          <w:kern w:val="0"/>
          <w:sz w:val="24"/>
          <w:szCs w:val="24"/>
          <w:highlight w:val="yellow"/>
          <w:lang w:eastAsia="es-CO"/>
          <w14:ligatures w14:val="none"/>
        </w:rPr>
        <w:t xml:space="preserve">profundizar la articulación entre educación, investigación, sector productivo y políticas públicas; </w:t>
      </w:r>
    </w:p>
    <w:p w14:paraId="50233317" w14:textId="77777777" w:rsidR="008E1DDB" w:rsidRPr="00A61075" w:rsidRDefault="008E1DDB" w:rsidP="008E1DDB">
      <w:pPr>
        <w:numPr>
          <w:ilvl w:val="0"/>
          <w:numId w:val="6"/>
        </w:num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A61075">
        <w:rPr>
          <w:rFonts w:ascii="Times New Roman" w:eastAsia="Times New Roman" w:hAnsi="Times New Roman" w:cs="Times New Roman"/>
          <w:kern w:val="0"/>
          <w:sz w:val="24"/>
          <w:szCs w:val="24"/>
          <w:highlight w:val="yellow"/>
          <w:lang w:eastAsia="es-CO"/>
          <w14:ligatures w14:val="none"/>
        </w:rPr>
        <w:t xml:space="preserve">ampliar el alcance territorial y social de las intervenciones para reducir las brechas persistentes entre países y regiones. </w:t>
      </w:r>
    </w:p>
    <w:p w14:paraId="716BD0F2" w14:textId="77777777" w:rsidR="008E1DDB" w:rsidRPr="00B621DF"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B621DF">
        <w:rPr>
          <w:rFonts w:ascii="Times New Roman" w:eastAsia="Times New Roman" w:hAnsi="Times New Roman" w:cs="Times New Roman"/>
          <w:kern w:val="0"/>
          <w:sz w:val="24"/>
          <w:szCs w:val="24"/>
          <w:lang w:eastAsia="es-CO"/>
          <w14:ligatures w14:val="none"/>
        </w:rPr>
        <w:t>Estas acciones permitirán que CAF consolide su papel no solo como financiador de proyectos, sino también como un verdadero catalizador del desarrollo basado en el conocimiento, la innovación y la cooperación regional.</w:t>
      </w:r>
    </w:p>
    <w:p w14:paraId="503BBAB7" w14:textId="77777777" w:rsidR="008E1DDB" w:rsidRPr="007E32D7" w:rsidRDefault="008E1DDB" w:rsidP="008E1DDB">
      <w:pPr>
        <w:spacing w:before="100" w:beforeAutospacing="1" w:after="100" w:afterAutospacing="1" w:line="240" w:lineRule="auto"/>
        <w:outlineLvl w:val="1"/>
        <w:rPr>
          <w:rFonts w:ascii="Times New Roman" w:eastAsia="Times New Roman" w:hAnsi="Times New Roman" w:cs="Times New Roman"/>
          <w:b/>
          <w:bCs/>
          <w:kern w:val="0"/>
          <w:sz w:val="28"/>
          <w:szCs w:val="28"/>
          <w:lang w:eastAsia="es-CO"/>
          <w14:ligatures w14:val="none"/>
        </w:rPr>
      </w:pPr>
      <w:r w:rsidRPr="007E32D7">
        <w:rPr>
          <w:rFonts w:ascii="Times New Roman" w:eastAsia="Times New Roman" w:hAnsi="Times New Roman" w:cs="Times New Roman"/>
          <w:b/>
          <w:bCs/>
          <w:kern w:val="0"/>
          <w:sz w:val="28"/>
          <w:szCs w:val="28"/>
          <w:lang w:eastAsia="es-CO"/>
          <w14:ligatures w14:val="none"/>
        </w:rPr>
        <w:t>9. Recomendaciones estratégicas</w:t>
      </w:r>
    </w:p>
    <w:p w14:paraId="1E76E06A" w14:textId="77777777" w:rsidR="008E1DDB" w:rsidRPr="00827305"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27305">
        <w:rPr>
          <w:rFonts w:ascii="Times New Roman" w:eastAsia="Times New Roman" w:hAnsi="Times New Roman" w:cs="Times New Roman"/>
          <w:kern w:val="0"/>
          <w:sz w:val="24"/>
          <w:szCs w:val="24"/>
          <w:lang w:eastAsia="es-CO"/>
          <w14:ligatures w14:val="none"/>
        </w:rPr>
        <w:t>A partir del análisis realizado, se proponen las siguientes recomendaciones para fortalecer las estrategias, programas y proyectos de CAF en educación, educación superior, ciencia, tecnología e innovación (CTI).</w:t>
      </w:r>
    </w:p>
    <w:p w14:paraId="518C057E" w14:textId="77777777" w:rsidR="008E1DDB" w:rsidRPr="00827305" w:rsidRDefault="008E1DDB" w:rsidP="008E1DDB">
      <w:pPr>
        <w:spacing w:before="100" w:beforeAutospacing="1" w:after="100" w:afterAutospacing="1" w:line="240" w:lineRule="auto"/>
        <w:outlineLvl w:val="2"/>
        <w:rPr>
          <w:rFonts w:ascii="Times New Roman" w:eastAsia="Times New Roman" w:hAnsi="Times New Roman" w:cs="Times New Roman"/>
          <w:b/>
          <w:bCs/>
          <w:kern w:val="0"/>
          <w:sz w:val="27"/>
          <w:szCs w:val="27"/>
          <w:lang w:eastAsia="es-CO"/>
          <w14:ligatures w14:val="none"/>
        </w:rPr>
      </w:pPr>
      <w:r w:rsidRPr="00827305">
        <w:rPr>
          <w:rFonts w:ascii="Times New Roman" w:eastAsia="Times New Roman" w:hAnsi="Times New Roman" w:cs="Times New Roman"/>
          <w:b/>
          <w:bCs/>
          <w:kern w:val="0"/>
          <w:sz w:val="27"/>
          <w:szCs w:val="27"/>
          <w:lang w:eastAsia="es-CO"/>
          <w14:ligatures w14:val="none"/>
        </w:rPr>
        <w:t>9.1. Fortalecer los sistemas de evaluación de impacto</w:t>
      </w:r>
    </w:p>
    <w:p w14:paraId="03BB9B74" w14:textId="77777777" w:rsidR="008E1DDB" w:rsidRPr="0004566F" w:rsidRDefault="008E1DDB" w:rsidP="008E1DDB">
      <w:p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827305">
        <w:rPr>
          <w:rFonts w:ascii="Times New Roman" w:eastAsia="Times New Roman" w:hAnsi="Times New Roman" w:cs="Times New Roman"/>
          <w:kern w:val="0"/>
          <w:sz w:val="24"/>
          <w:szCs w:val="24"/>
          <w:lang w:eastAsia="es-CO"/>
          <w14:ligatures w14:val="none"/>
        </w:rPr>
        <w:t xml:space="preserve">CAF debería avanzar hacia un modelo de evaluación que complemente los indicadores tradicionales de ejecución física y financiera con indicadores de resultados e impacto de mediano y largo plazo. Esto implica </w:t>
      </w:r>
      <w:r w:rsidRPr="0004566F">
        <w:rPr>
          <w:rFonts w:ascii="Times New Roman" w:eastAsia="Times New Roman" w:hAnsi="Times New Roman" w:cs="Times New Roman"/>
          <w:kern w:val="0"/>
          <w:sz w:val="24"/>
          <w:szCs w:val="24"/>
          <w:highlight w:val="yellow"/>
          <w:lang w:eastAsia="es-CO"/>
          <w14:ligatures w14:val="none"/>
        </w:rPr>
        <w:t>incorporar métricas relacionadas con:</w:t>
      </w:r>
    </w:p>
    <w:p w14:paraId="4F475B1A" w14:textId="77777777" w:rsidR="008E1DDB" w:rsidRPr="0004566F" w:rsidRDefault="008E1DDB" w:rsidP="008E1DDB">
      <w:pPr>
        <w:numPr>
          <w:ilvl w:val="0"/>
          <w:numId w:val="7"/>
        </w:num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04566F">
        <w:rPr>
          <w:rFonts w:ascii="Times New Roman" w:eastAsia="Times New Roman" w:hAnsi="Times New Roman" w:cs="Times New Roman"/>
          <w:kern w:val="0"/>
          <w:sz w:val="24"/>
          <w:szCs w:val="24"/>
          <w:highlight w:val="yellow"/>
          <w:lang w:eastAsia="es-CO"/>
          <w14:ligatures w14:val="none"/>
        </w:rPr>
        <w:t xml:space="preserve">Mejoras en los aprendizajes y la permanencia escolar. </w:t>
      </w:r>
    </w:p>
    <w:p w14:paraId="7F7EC37E" w14:textId="77777777" w:rsidR="008E1DDB" w:rsidRPr="0004566F" w:rsidRDefault="008E1DDB" w:rsidP="008E1DDB">
      <w:pPr>
        <w:numPr>
          <w:ilvl w:val="0"/>
          <w:numId w:val="7"/>
        </w:num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04566F">
        <w:rPr>
          <w:rFonts w:ascii="Times New Roman" w:eastAsia="Times New Roman" w:hAnsi="Times New Roman" w:cs="Times New Roman"/>
          <w:kern w:val="0"/>
          <w:sz w:val="24"/>
          <w:szCs w:val="24"/>
          <w:highlight w:val="yellow"/>
          <w:lang w:eastAsia="es-CO"/>
          <w14:ligatures w14:val="none"/>
        </w:rPr>
        <w:t xml:space="preserve">Empleabilidad y trayectoria laboral de los egresados de educación superior. </w:t>
      </w:r>
    </w:p>
    <w:p w14:paraId="3D1EAAD1" w14:textId="77777777" w:rsidR="008E1DDB" w:rsidRPr="0004566F" w:rsidRDefault="008E1DDB" w:rsidP="008E1DDB">
      <w:pPr>
        <w:numPr>
          <w:ilvl w:val="0"/>
          <w:numId w:val="7"/>
        </w:num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04566F">
        <w:rPr>
          <w:rFonts w:ascii="Times New Roman" w:eastAsia="Times New Roman" w:hAnsi="Times New Roman" w:cs="Times New Roman"/>
          <w:kern w:val="0"/>
          <w:sz w:val="24"/>
          <w:szCs w:val="24"/>
          <w:highlight w:val="yellow"/>
          <w:lang w:eastAsia="es-CO"/>
          <w14:ligatures w14:val="none"/>
        </w:rPr>
        <w:t xml:space="preserve">Producción científica y tecnológica derivada de los proyectos financiados. </w:t>
      </w:r>
    </w:p>
    <w:p w14:paraId="5C8BD915" w14:textId="77777777" w:rsidR="008E1DDB" w:rsidRPr="0004566F" w:rsidRDefault="008E1DDB" w:rsidP="008E1DDB">
      <w:pPr>
        <w:numPr>
          <w:ilvl w:val="0"/>
          <w:numId w:val="7"/>
        </w:num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04566F">
        <w:rPr>
          <w:rFonts w:ascii="Times New Roman" w:eastAsia="Times New Roman" w:hAnsi="Times New Roman" w:cs="Times New Roman"/>
          <w:kern w:val="0"/>
          <w:sz w:val="24"/>
          <w:szCs w:val="24"/>
          <w:highlight w:val="yellow"/>
          <w:lang w:eastAsia="es-CO"/>
          <w14:ligatures w14:val="none"/>
        </w:rPr>
        <w:t xml:space="preserve">Transferencia de conocimiento hacia los sectores productivos. </w:t>
      </w:r>
    </w:p>
    <w:p w14:paraId="7C13ED91" w14:textId="77777777" w:rsidR="008E1DDB" w:rsidRPr="0004566F" w:rsidRDefault="008E1DDB" w:rsidP="008E1DDB">
      <w:pPr>
        <w:numPr>
          <w:ilvl w:val="0"/>
          <w:numId w:val="7"/>
        </w:num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04566F">
        <w:rPr>
          <w:rFonts w:ascii="Times New Roman" w:eastAsia="Times New Roman" w:hAnsi="Times New Roman" w:cs="Times New Roman"/>
          <w:kern w:val="0"/>
          <w:sz w:val="24"/>
          <w:szCs w:val="24"/>
          <w:highlight w:val="yellow"/>
          <w:lang w:eastAsia="es-CO"/>
          <w14:ligatures w14:val="none"/>
        </w:rPr>
        <w:t xml:space="preserve">Reducción de brechas territoriales y sociales en el acceso a la educación y la innovación. </w:t>
      </w:r>
    </w:p>
    <w:p w14:paraId="238DC5F2" w14:textId="77777777" w:rsidR="008E1DDB" w:rsidRPr="00827305"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27305">
        <w:rPr>
          <w:rFonts w:ascii="Times New Roman" w:eastAsia="Times New Roman" w:hAnsi="Times New Roman" w:cs="Times New Roman"/>
          <w:kern w:val="0"/>
          <w:sz w:val="24"/>
          <w:szCs w:val="24"/>
          <w:lang w:eastAsia="es-CO"/>
          <w14:ligatures w14:val="none"/>
        </w:rPr>
        <w:lastRenderedPageBreak/>
        <w:t>La adopción de este enfoque permitiría fortalecer la rendición de cuentas, mejorar la toma de decisiones y orientar futuras inversiones hacia las iniciativas con mayor impacto.</w:t>
      </w:r>
    </w:p>
    <w:p w14:paraId="10EF888B" w14:textId="77777777" w:rsidR="008E1DDB" w:rsidRPr="00827305" w:rsidRDefault="008E1DDB" w:rsidP="008E1DDB">
      <w:pPr>
        <w:spacing w:before="100" w:beforeAutospacing="1" w:after="100" w:afterAutospacing="1" w:line="240" w:lineRule="auto"/>
        <w:outlineLvl w:val="2"/>
        <w:rPr>
          <w:rFonts w:ascii="Times New Roman" w:eastAsia="Times New Roman" w:hAnsi="Times New Roman" w:cs="Times New Roman"/>
          <w:b/>
          <w:bCs/>
          <w:kern w:val="0"/>
          <w:sz w:val="27"/>
          <w:szCs w:val="27"/>
          <w:lang w:eastAsia="es-CO"/>
          <w14:ligatures w14:val="none"/>
        </w:rPr>
      </w:pPr>
      <w:r w:rsidRPr="00827305">
        <w:rPr>
          <w:rFonts w:ascii="Times New Roman" w:eastAsia="Times New Roman" w:hAnsi="Times New Roman" w:cs="Times New Roman"/>
          <w:b/>
          <w:bCs/>
          <w:kern w:val="0"/>
          <w:sz w:val="27"/>
          <w:szCs w:val="27"/>
          <w:lang w:eastAsia="es-CO"/>
          <w14:ligatures w14:val="none"/>
        </w:rPr>
        <w:t>9.2. Consolidar una estrategia regional de educación superior</w:t>
      </w:r>
    </w:p>
    <w:p w14:paraId="5055F5BE" w14:textId="77777777" w:rsidR="008E1DDB" w:rsidRPr="00827305"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27305">
        <w:rPr>
          <w:rFonts w:ascii="Times New Roman" w:eastAsia="Times New Roman" w:hAnsi="Times New Roman" w:cs="Times New Roman"/>
          <w:kern w:val="0"/>
          <w:sz w:val="24"/>
          <w:szCs w:val="24"/>
          <w:lang w:eastAsia="es-CO"/>
          <w14:ligatures w14:val="none"/>
        </w:rPr>
        <w:t>CAF podría asumir un liderazgo más visible en la construcción de una agenda regional para la educación superior, promoviendo programas permanentes de cooperación entre universidades latinoamericanas y caribeñas.</w:t>
      </w:r>
    </w:p>
    <w:p w14:paraId="0CC14B2D" w14:textId="77777777" w:rsidR="008E1DDB" w:rsidRPr="00827305"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27305">
        <w:rPr>
          <w:rFonts w:ascii="Times New Roman" w:eastAsia="Times New Roman" w:hAnsi="Times New Roman" w:cs="Times New Roman"/>
          <w:kern w:val="0"/>
          <w:sz w:val="24"/>
          <w:szCs w:val="24"/>
          <w:lang w:eastAsia="es-CO"/>
          <w14:ligatures w14:val="none"/>
        </w:rPr>
        <w:t>Esta estrategia debería incluir acciones para fortalecer la movilidad académica, el reconocimiento de títulos, la investigación colaborativa, la internacionalización y el desarrollo de redes de excelencia, especialmente en áreas STEM (ciencia, tecnología, ingeniería y matemáticas).</w:t>
      </w:r>
    </w:p>
    <w:p w14:paraId="6E6DA5F5" w14:textId="77777777" w:rsidR="008E1DDB" w:rsidRPr="00827305"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27305">
        <w:rPr>
          <w:rFonts w:ascii="Times New Roman" w:eastAsia="Times New Roman" w:hAnsi="Times New Roman" w:cs="Times New Roman"/>
          <w:kern w:val="0"/>
          <w:sz w:val="24"/>
          <w:szCs w:val="24"/>
          <w:lang w:eastAsia="es-CO"/>
          <w14:ligatures w14:val="none"/>
        </w:rPr>
        <w:t>Asimismo, sería pertinente impulsar mecanismos de financiamiento para proyectos conjuntos entre universidades, centros de investigación y empresas, favoreciendo la generación de soluciones innovadoras a problemas comunes de la región.</w:t>
      </w:r>
    </w:p>
    <w:p w14:paraId="7F849313" w14:textId="77777777" w:rsidR="008E1DDB" w:rsidRPr="00827305" w:rsidRDefault="008E1DDB" w:rsidP="008E1DDB">
      <w:pPr>
        <w:spacing w:before="100" w:beforeAutospacing="1" w:after="100" w:afterAutospacing="1" w:line="240" w:lineRule="auto"/>
        <w:outlineLvl w:val="2"/>
        <w:rPr>
          <w:rFonts w:ascii="Times New Roman" w:eastAsia="Times New Roman" w:hAnsi="Times New Roman" w:cs="Times New Roman"/>
          <w:b/>
          <w:bCs/>
          <w:kern w:val="0"/>
          <w:sz w:val="27"/>
          <w:szCs w:val="27"/>
          <w:lang w:eastAsia="es-CO"/>
          <w14:ligatures w14:val="none"/>
        </w:rPr>
      </w:pPr>
      <w:r w:rsidRPr="00827305">
        <w:rPr>
          <w:rFonts w:ascii="Times New Roman" w:eastAsia="Times New Roman" w:hAnsi="Times New Roman" w:cs="Times New Roman"/>
          <w:b/>
          <w:bCs/>
          <w:kern w:val="0"/>
          <w:sz w:val="27"/>
          <w:szCs w:val="27"/>
          <w:lang w:eastAsia="es-CO"/>
          <w14:ligatures w14:val="none"/>
        </w:rPr>
        <w:t>9.3. Impulsar ecosistemas regionales de innovación</w:t>
      </w:r>
    </w:p>
    <w:p w14:paraId="1C0B2F79" w14:textId="77777777" w:rsidR="008E1DDB" w:rsidRPr="00827305"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27305">
        <w:rPr>
          <w:rFonts w:ascii="Times New Roman" w:eastAsia="Times New Roman" w:hAnsi="Times New Roman" w:cs="Times New Roman"/>
          <w:kern w:val="0"/>
          <w:sz w:val="24"/>
          <w:szCs w:val="24"/>
          <w:lang w:eastAsia="es-CO"/>
          <w14:ligatures w14:val="none"/>
        </w:rPr>
        <w:t>Si bien CAF ha apoyado el fortalecimiento de los sistemas nacionales de innovación, resulta conveniente avanzar hacia una mayor integración regional. Se recomienda promover plataformas que articulen universidades, empresas, centros tecnológicos y gobiernos para facilitar la transferencia de conocimiento, el desarrollo de emprendimientos innovadores y la cooperación científica.</w:t>
      </w:r>
    </w:p>
    <w:p w14:paraId="7428FA43" w14:textId="77777777" w:rsidR="008E1DDB" w:rsidRPr="00827305"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27305">
        <w:rPr>
          <w:rFonts w:ascii="Times New Roman" w:eastAsia="Times New Roman" w:hAnsi="Times New Roman" w:cs="Times New Roman"/>
          <w:kern w:val="0"/>
          <w:sz w:val="24"/>
          <w:szCs w:val="24"/>
          <w:lang w:eastAsia="es-CO"/>
          <w14:ligatures w14:val="none"/>
        </w:rPr>
        <w:t>El impulso de ecosistemas regionales permitiría aprovechar economías de escala, compartir capacidades instaladas y reducir las asimetrías entre países.</w:t>
      </w:r>
    </w:p>
    <w:p w14:paraId="6315DD37" w14:textId="77777777" w:rsidR="008E1DDB" w:rsidRPr="00827305" w:rsidRDefault="008E1DDB" w:rsidP="008E1DDB">
      <w:pPr>
        <w:spacing w:before="100" w:beforeAutospacing="1" w:after="100" w:afterAutospacing="1" w:line="240" w:lineRule="auto"/>
        <w:outlineLvl w:val="2"/>
        <w:rPr>
          <w:rFonts w:ascii="Times New Roman" w:eastAsia="Times New Roman" w:hAnsi="Times New Roman" w:cs="Times New Roman"/>
          <w:b/>
          <w:bCs/>
          <w:kern w:val="0"/>
          <w:sz w:val="27"/>
          <w:szCs w:val="27"/>
          <w:lang w:eastAsia="es-CO"/>
          <w14:ligatures w14:val="none"/>
        </w:rPr>
      </w:pPr>
      <w:r w:rsidRPr="00827305">
        <w:rPr>
          <w:rFonts w:ascii="Times New Roman" w:eastAsia="Times New Roman" w:hAnsi="Times New Roman" w:cs="Times New Roman"/>
          <w:b/>
          <w:bCs/>
          <w:kern w:val="0"/>
          <w:sz w:val="27"/>
          <w:szCs w:val="27"/>
          <w:lang w:eastAsia="es-CO"/>
          <w14:ligatures w14:val="none"/>
        </w:rPr>
        <w:t>9.4. Incorporar de manera transversal la inteligencia artificial</w:t>
      </w:r>
    </w:p>
    <w:p w14:paraId="58D47101" w14:textId="77777777" w:rsidR="008E1DDB" w:rsidRPr="00827305"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27305">
        <w:rPr>
          <w:rFonts w:ascii="Times New Roman" w:eastAsia="Times New Roman" w:hAnsi="Times New Roman" w:cs="Times New Roman"/>
          <w:kern w:val="0"/>
          <w:sz w:val="24"/>
          <w:szCs w:val="24"/>
          <w:lang w:eastAsia="es-CO"/>
          <w14:ligatures w14:val="none"/>
        </w:rPr>
        <w:t>La rápida evolución de la inteligencia artificial (IA) plantea oportunidades y desafíos para la educación y la innovación. CAF podría fortalecer su liderazgo mediante el diseño de programas específicos orientados a:</w:t>
      </w:r>
    </w:p>
    <w:p w14:paraId="69000E06" w14:textId="77777777" w:rsidR="008E1DDB" w:rsidRPr="00827305" w:rsidRDefault="008E1DDB" w:rsidP="008E1DDB">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27305">
        <w:rPr>
          <w:rFonts w:ascii="Times New Roman" w:eastAsia="Times New Roman" w:hAnsi="Times New Roman" w:cs="Times New Roman"/>
          <w:kern w:val="0"/>
          <w:sz w:val="24"/>
          <w:szCs w:val="24"/>
          <w:lang w:eastAsia="es-CO"/>
          <w14:ligatures w14:val="none"/>
        </w:rPr>
        <w:t xml:space="preserve">Formación de talento en inteligencia artificial y ciencia de datos. </w:t>
      </w:r>
    </w:p>
    <w:p w14:paraId="4226F424" w14:textId="77777777" w:rsidR="008E1DDB" w:rsidRPr="00827305" w:rsidRDefault="008E1DDB" w:rsidP="008E1DDB">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27305">
        <w:rPr>
          <w:rFonts w:ascii="Times New Roman" w:eastAsia="Times New Roman" w:hAnsi="Times New Roman" w:cs="Times New Roman"/>
          <w:kern w:val="0"/>
          <w:sz w:val="24"/>
          <w:szCs w:val="24"/>
          <w:lang w:eastAsia="es-CO"/>
          <w14:ligatures w14:val="none"/>
        </w:rPr>
        <w:t xml:space="preserve">Uso responsable y ético de la IA en los sistemas educativos. </w:t>
      </w:r>
    </w:p>
    <w:p w14:paraId="6B70DB7F" w14:textId="77777777" w:rsidR="008E1DDB" w:rsidRPr="00827305" w:rsidRDefault="008E1DDB" w:rsidP="008E1DDB">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27305">
        <w:rPr>
          <w:rFonts w:ascii="Times New Roman" w:eastAsia="Times New Roman" w:hAnsi="Times New Roman" w:cs="Times New Roman"/>
          <w:kern w:val="0"/>
          <w:sz w:val="24"/>
          <w:szCs w:val="24"/>
          <w:lang w:eastAsia="es-CO"/>
          <w14:ligatures w14:val="none"/>
        </w:rPr>
        <w:t xml:space="preserve">Modernización de la gestión pública mediante herramientas de IA. </w:t>
      </w:r>
    </w:p>
    <w:p w14:paraId="63A18FD8" w14:textId="77777777" w:rsidR="008E1DDB" w:rsidRPr="00827305" w:rsidRDefault="008E1DDB" w:rsidP="008E1DDB">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27305">
        <w:rPr>
          <w:rFonts w:ascii="Times New Roman" w:eastAsia="Times New Roman" w:hAnsi="Times New Roman" w:cs="Times New Roman"/>
          <w:kern w:val="0"/>
          <w:sz w:val="24"/>
          <w:szCs w:val="24"/>
          <w:lang w:eastAsia="es-CO"/>
          <w14:ligatures w14:val="none"/>
        </w:rPr>
        <w:t xml:space="preserve">Apoyo a proyectos de investigación aplicada en tecnologías emergentes. </w:t>
      </w:r>
    </w:p>
    <w:p w14:paraId="48184349" w14:textId="77777777" w:rsidR="008E1DDB" w:rsidRPr="00827305"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27305">
        <w:rPr>
          <w:rFonts w:ascii="Times New Roman" w:eastAsia="Times New Roman" w:hAnsi="Times New Roman" w:cs="Times New Roman"/>
          <w:kern w:val="0"/>
          <w:sz w:val="24"/>
          <w:szCs w:val="24"/>
          <w:lang w:eastAsia="es-CO"/>
          <w14:ligatures w14:val="none"/>
        </w:rPr>
        <w:t>Estas iniciativas contribuirían a preparar a los países de la región para afrontar los cambios asociados con la cuarta revolución industrial.</w:t>
      </w:r>
    </w:p>
    <w:p w14:paraId="65DA1DFC" w14:textId="77777777" w:rsidR="008E1DDB" w:rsidRPr="00827305" w:rsidRDefault="008E1DDB" w:rsidP="008E1DDB">
      <w:pPr>
        <w:spacing w:before="100" w:beforeAutospacing="1" w:after="100" w:afterAutospacing="1" w:line="240" w:lineRule="auto"/>
        <w:outlineLvl w:val="2"/>
        <w:rPr>
          <w:rFonts w:ascii="Times New Roman" w:eastAsia="Times New Roman" w:hAnsi="Times New Roman" w:cs="Times New Roman"/>
          <w:b/>
          <w:bCs/>
          <w:kern w:val="0"/>
          <w:sz w:val="27"/>
          <w:szCs w:val="27"/>
          <w:lang w:eastAsia="es-CO"/>
          <w14:ligatures w14:val="none"/>
        </w:rPr>
      </w:pPr>
      <w:r w:rsidRPr="00827305">
        <w:rPr>
          <w:rFonts w:ascii="Times New Roman" w:eastAsia="Times New Roman" w:hAnsi="Times New Roman" w:cs="Times New Roman"/>
          <w:b/>
          <w:bCs/>
          <w:kern w:val="0"/>
          <w:sz w:val="27"/>
          <w:szCs w:val="27"/>
          <w:lang w:eastAsia="es-CO"/>
          <w14:ligatures w14:val="none"/>
        </w:rPr>
        <w:t>9.5. Fortalecer la inclusión territorial</w:t>
      </w:r>
    </w:p>
    <w:p w14:paraId="7BBD3DE9" w14:textId="77777777" w:rsidR="008E1DDB" w:rsidRPr="00827305"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27305">
        <w:rPr>
          <w:rFonts w:ascii="Times New Roman" w:eastAsia="Times New Roman" w:hAnsi="Times New Roman" w:cs="Times New Roman"/>
          <w:kern w:val="0"/>
          <w:sz w:val="24"/>
          <w:szCs w:val="24"/>
          <w:lang w:eastAsia="es-CO"/>
          <w14:ligatures w14:val="none"/>
        </w:rPr>
        <w:lastRenderedPageBreak/>
        <w:t>Una prioridad estratégica consiste en ampliar el alcance de las intervenciones hacia territorios rurales, comunidades indígenas, poblaciones afrodescendientes y regiones con menor desarrollo científico y tecnológico.</w:t>
      </w:r>
    </w:p>
    <w:p w14:paraId="25FD0D08" w14:textId="77777777" w:rsidR="008E1DDB" w:rsidRPr="00827305"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27305">
        <w:rPr>
          <w:rFonts w:ascii="Times New Roman" w:eastAsia="Times New Roman" w:hAnsi="Times New Roman" w:cs="Times New Roman"/>
          <w:kern w:val="0"/>
          <w:sz w:val="24"/>
          <w:szCs w:val="24"/>
          <w:lang w:eastAsia="es-CO"/>
          <w14:ligatures w14:val="none"/>
        </w:rPr>
        <w:t>La reducción de las desigualdades territoriales requiere diseñar instrumentos financieros y técnicos diferenciados, adaptados a las capacidades institucionales de cada contexto.</w:t>
      </w:r>
    </w:p>
    <w:p w14:paraId="77E9A945" w14:textId="77777777" w:rsidR="008E1DDB" w:rsidRPr="00D523C5" w:rsidRDefault="008E1DDB" w:rsidP="008E1DDB">
      <w:pPr>
        <w:spacing w:before="100" w:beforeAutospacing="1" w:after="100" w:afterAutospacing="1" w:line="240" w:lineRule="auto"/>
        <w:outlineLvl w:val="1"/>
        <w:rPr>
          <w:rFonts w:ascii="Times New Roman" w:eastAsia="Times New Roman" w:hAnsi="Times New Roman" w:cs="Times New Roman"/>
          <w:b/>
          <w:bCs/>
          <w:kern w:val="0"/>
          <w:sz w:val="28"/>
          <w:szCs w:val="28"/>
          <w:lang w:eastAsia="es-CO"/>
          <w14:ligatures w14:val="none"/>
        </w:rPr>
      </w:pPr>
      <w:r w:rsidRPr="00D523C5">
        <w:rPr>
          <w:rFonts w:ascii="Times New Roman" w:eastAsia="Times New Roman" w:hAnsi="Times New Roman" w:cs="Times New Roman"/>
          <w:b/>
          <w:bCs/>
          <w:kern w:val="0"/>
          <w:sz w:val="28"/>
          <w:szCs w:val="28"/>
          <w:lang w:eastAsia="es-CO"/>
          <w14:ligatures w14:val="none"/>
        </w:rPr>
        <w:t>10. Conclusiones</w:t>
      </w:r>
    </w:p>
    <w:p w14:paraId="5A0FB333" w14:textId="77777777" w:rsidR="008E1DDB" w:rsidRPr="00855433" w:rsidRDefault="008E1DDB" w:rsidP="008E1DDB">
      <w:p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855433">
        <w:rPr>
          <w:rFonts w:ascii="Times New Roman" w:eastAsia="Times New Roman" w:hAnsi="Times New Roman" w:cs="Times New Roman"/>
          <w:kern w:val="0"/>
          <w:sz w:val="24"/>
          <w:szCs w:val="24"/>
          <w:highlight w:val="yellow"/>
          <w:lang w:eastAsia="es-CO"/>
          <w14:ligatures w14:val="none"/>
        </w:rPr>
        <w:t>El análisis realizado evidencia que, durante el período 2021–2026, CAF ha consolidado una transformación significativa en su enfoque institucional respecto a la educación, la educación superior, la ciencia, la tecnología y la innovación.</w:t>
      </w:r>
    </w:p>
    <w:p w14:paraId="275AA48A" w14:textId="77777777" w:rsidR="008E1DDB" w:rsidRPr="00855433" w:rsidRDefault="008E1DDB" w:rsidP="008E1DDB">
      <w:p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855433">
        <w:rPr>
          <w:rFonts w:ascii="Times New Roman" w:eastAsia="Times New Roman" w:hAnsi="Times New Roman" w:cs="Times New Roman"/>
          <w:kern w:val="0"/>
          <w:sz w:val="24"/>
          <w:szCs w:val="24"/>
          <w:highlight w:val="yellow"/>
          <w:lang w:eastAsia="es-CO"/>
          <w14:ligatures w14:val="none"/>
        </w:rPr>
        <w:t>La institución ha evolucionado desde un modelo centrado principalmente en el financiamiento de infraestructura hacia una visión más amplia del desarrollo basada en el fortalecimiento del capital humano, la generación de conocimiento, la transformación digital y la innovación como motores del crecimiento sostenible.</w:t>
      </w:r>
    </w:p>
    <w:p w14:paraId="5B670305" w14:textId="77777777" w:rsidR="008E1DDB" w:rsidRPr="00855433" w:rsidRDefault="008E1DDB" w:rsidP="008E1DDB">
      <w:p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855433">
        <w:rPr>
          <w:rFonts w:ascii="Times New Roman" w:eastAsia="Times New Roman" w:hAnsi="Times New Roman" w:cs="Times New Roman"/>
          <w:kern w:val="0"/>
          <w:sz w:val="24"/>
          <w:szCs w:val="24"/>
          <w:highlight w:val="yellow"/>
          <w:lang w:eastAsia="es-CO"/>
          <w14:ligatures w14:val="none"/>
        </w:rPr>
        <w:t>Entre sus principales fortalezas destacan la capacidad para combinar financiamiento con asistencia técnica, la producción de conocimiento especializado, la promoción de la cooperación regional y la incorporación de enfoques transversales relacionados con la inclusión, la sostenibilidad y la transformación digital.</w:t>
      </w:r>
    </w:p>
    <w:p w14:paraId="19EBBC32" w14:textId="77777777" w:rsidR="008E1DDB" w:rsidRPr="00855433" w:rsidRDefault="008E1DDB" w:rsidP="008E1DDB">
      <w:p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855433">
        <w:rPr>
          <w:rFonts w:ascii="Times New Roman" w:eastAsia="Times New Roman" w:hAnsi="Times New Roman" w:cs="Times New Roman"/>
          <w:kern w:val="0"/>
          <w:sz w:val="24"/>
          <w:szCs w:val="24"/>
          <w:highlight w:val="yellow"/>
          <w:lang w:eastAsia="es-CO"/>
          <w14:ligatures w14:val="none"/>
        </w:rPr>
        <w:t>No obstante, el análisis también identifica desafíos que limitan el potencial transformador de sus intervenciones. La necesidad de fortalecer la medición de impactos, ampliar la articulación entre universidades, empresas y gobiernos, incrementar el apoyo a la investigación aplicada y reducir las brechas territoriales constituye una agenda prioritaria para los próximos años.</w:t>
      </w:r>
    </w:p>
    <w:p w14:paraId="039F9ACA" w14:textId="77777777" w:rsidR="008E1DDB" w:rsidRPr="00855433" w:rsidRDefault="008E1DDB" w:rsidP="008E1DDB">
      <w:p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855433">
        <w:rPr>
          <w:rFonts w:ascii="Times New Roman" w:eastAsia="Times New Roman" w:hAnsi="Times New Roman" w:cs="Times New Roman"/>
          <w:kern w:val="0"/>
          <w:sz w:val="24"/>
          <w:szCs w:val="24"/>
          <w:highlight w:val="yellow"/>
          <w:lang w:eastAsia="es-CO"/>
          <w14:ligatures w14:val="none"/>
        </w:rPr>
        <w:t>Asimismo, el acelerado desarrollo de tecnologías emergentes, particularmente la inteligencia artificial, exige que CAF continúe adaptando sus estrategias para fortalecer las capacidades científicas y tecnológicas de los países de América Latina y el Caribe.</w:t>
      </w:r>
    </w:p>
    <w:p w14:paraId="1D01FBF2" w14:textId="77777777" w:rsidR="008E1DDB" w:rsidRPr="00855433" w:rsidRDefault="008E1DDB" w:rsidP="008E1DDB">
      <w:p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855433">
        <w:rPr>
          <w:rFonts w:ascii="Times New Roman" w:eastAsia="Times New Roman" w:hAnsi="Times New Roman" w:cs="Times New Roman"/>
          <w:kern w:val="0"/>
          <w:sz w:val="24"/>
          <w:szCs w:val="24"/>
          <w:highlight w:val="yellow"/>
          <w:lang w:eastAsia="es-CO"/>
          <w14:ligatures w14:val="none"/>
        </w:rPr>
        <w:t>En términos generales, puede afirmarse que CAF desempeña actualmente un papel fundamental en la promoción del desarrollo regional basado en el conocimiento. Sin embargo, para consolidar plenamente dicho liderazgo será necesario evolucionar hacia un modelo cada vez más orientado a la generación de impactos sostenibles, medibles y equitativos.</w:t>
      </w:r>
    </w:p>
    <w:p w14:paraId="702B2E1B" w14:textId="77777777" w:rsidR="008E1DDB" w:rsidRPr="00827305"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55433">
        <w:rPr>
          <w:rFonts w:ascii="Times New Roman" w:eastAsia="Times New Roman" w:hAnsi="Times New Roman" w:cs="Times New Roman"/>
          <w:kern w:val="0"/>
          <w:sz w:val="24"/>
          <w:szCs w:val="24"/>
          <w:highlight w:val="yellow"/>
          <w:lang w:eastAsia="es-CO"/>
          <w14:ligatures w14:val="none"/>
        </w:rPr>
        <w:t>El fortalecimiento de la cooperación regional, la integración entre educación, investigación e innovación, y el desarrollo de mecanismos robustos de evaluación permitirán incrementar la contribución de CAF al logro de los Objetivos de Desarrollo Sostenible y a la construcción de economías más competitivas, inclusivas y resilientes.</w:t>
      </w:r>
    </w:p>
    <w:p w14:paraId="4394AEAE" w14:textId="77777777" w:rsidR="008E1DDB" w:rsidRPr="00713FB2" w:rsidRDefault="008E1DDB" w:rsidP="008E1DDB">
      <w:pPr>
        <w:spacing w:before="100" w:beforeAutospacing="1" w:after="100" w:afterAutospacing="1" w:line="240" w:lineRule="auto"/>
        <w:outlineLvl w:val="0"/>
        <w:rPr>
          <w:rFonts w:ascii="Times New Roman" w:eastAsia="Times New Roman" w:hAnsi="Times New Roman" w:cs="Times New Roman"/>
          <w:b/>
          <w:bCs/>
          <w:kern w:val="36"/>
          <w:sz w:val="28"/>
          <w:szCs w:val="28"/>
          <w:lang w:eastAsia="es-CO"/>
          <w14:ligatures w14:val="none"/>
        </w:rPr>
      </w:pPr>
      <w:r w:rsidRPr="00713FB2">
        <w:rPr>
          <w:rFonts w:ascii="Times New Roman" w:eastAsia="Times New Roman" w:hAnsi="Times New Roman" w:cs="Times New Roman"/>
          <w:b/>
          <w:bCs/>
          <w:kern w:val="36"/>
          <w:sz w:val="28"/>
          <w:szCs w:val="28"/>
          <w:lang w:eastAsia="es-CO"/>
          <w14:ligatures w14:val="none"/>
        </w:rPr>
        <w:t>Referencias bibliográficas (APA 7.ª edición)</w:t>
      </w:r>
    </w:p>
    <w:p w14:paraId="39FE2034" w14:textId="77777777" w:rsidR="008E1DDB" w:rsidRPr="00827305"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27305">
        <w:rPr>
          <w:rFonts w:ascii="Times New Roman" w:eastAsia="Times New Roman" w:hAnsi="Times New Roman" w:cs="Times New Roman"/>
          <w:kern w:val="0"/>
          <w:sz w:val="24"/>
          <w:szCs w:val="24"/>
          <w:lang w:eastAsia="es-CO"/>
          <w14:ligatures w14:val="none"/>
        </w:rPr>
        <w:lastRenderedPageBreak/>
        <w:t xml:space="preserve">Banco de Desarrollo de América Latina y el Caribe (CAF). (2022). </w:t>
      </w:r>
      <w:r w:rsidRPr="00827305">
        <w:rPr>
          <w:rFonts w:ascii="Times New Roman" w:eastAsia="Times New Roman" w:hAnsi="Times New Roman" w:cs="Times New Roman"/>
          <w:i/>
          <w:iCs/>
          <w:kern w:val="0"/>
          <w:sz w:val="24"/>
          <w:szCs w:val="24"/>
          <w:lang w:eastAsia="es-CO"/>
          <w14:ligatures w14:val="none"/>
        </w:rPr>
        <w:t>Estrategia de Educación 2030</w:t>
      </w:r>
      <w:r w:rsidRPr="00827305">
        <w:rPr>
          <w:rFonts w:ascii="Times New Roman" w:eastAsia="Times New Roman" w:hAnsi="Times New Roman" w:cs="Times New Roman"/>
          <w:kern w:val="0"/>
          <w:sz w:val="24"/>
          <w:szCs w:val="24"/>
          <w:lang w:eastAsia="es-CO"/>
          <w14:ligatures w14:val="none"/>
        </w:rPr>
        <w:t>. Caracas: CAF.</w:t>
      </w:r>
    </w:p>
    <w:p w14:paraId="6526404F" w14:textId="77777777" w:rsidR="008E1DDB" w:rsidRPr="00827305"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27305">
        <w:rPr>
          <w:rFonts w:ascii="Times New Roman" w:eastAsia="Times New Roman" w:hAnsi="Times New Roman" w:cs="Times New Roman"/>
          <w:kern w:val="0"/>
          <w:sz w:val="24"/>
          <w:szCs w:val="24"/>
          <w:lang w:eastAsia="es-CO"/>
          <w14:ligatures w14:val="none"/>
        </w:rPr>
        <w:t xml:space="preserve">Banco de Desarrollo de América Latina y el Caribe (CAF). (2022). </w:t>
      </w:r>
      <w:r w:rsidRPr="00827305">
        <w:rPr>
          <w:rFonts w:ascii="Times New Roman" w:eastAsia="Times New Roman" w:hAnsi="Times New Roman" w:cs="Times New Roman"/>
          <w:i/>
          <w:iCs/>
          <w:kern w:val="0"/>
          <w:sz w:val="24"/>
          <w:szCs w:val="24"/>
          <w:lang w:eastAsia="es-CO"/>
          <w14:ligatures w14:val="none"/>
        </w:rPr>
        <w:t>Reporte Anual 2022</w:t>
      </w:r>
      <w:r w:rsidRPr="00827305">
        <w:rPr>
          <w:rFonts w:ascii="Times New Roman" w:eastAsia="Times New Roman" w:hAnsi="Times New Roman" w:cs="Times New Roman"/>
          <w:kern w:val="0"/>
          <w:sz w:val="24"/>
          <w:szCs w:val="24"/>
          <w:lang w:eastAsia="es-CO"/>
          <w14:ligatures w14:val="none"/>
        </w:rPr>
        <w:t>. Caracas: CAF.</w:t>
      </w:r>
    </w:p>
    <w:p w14:paraId="077DF33D" w14:textId="77777777" w:rsidR="008E1DDB" w:rsidRPr="00827305"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27305">
        <w:rPr>
          <w:rFonts w:ascii="Times New Roman" w:eastAsia="Times New Roman" w:hAnsi="Times New Roman" w:cs="Times New Roman"/>
          <w:kern w:val="0"/>
          <w:sz w:val="24"/>
          <w:szCs w:val="24"/>
          <w:lang w:eastAsia="es-CO"/>
          <w14:ligatures w14:val="none"/>
        </w:rPr>
        <w:t xml:space="preserve">Banco de Desarrollo de América Latina y el Caribe (CAF). (2023). </w:t>
      </w:r>
      <w:r w:rsidRPr="00827305">
        <w:rPr>
          <w:rFonts w:ascii="Times New Roman" w:eastAsia="Times New Roman" w:hAnsi="Times New Roman" w:cs="Times New Roman"/>
          <w:i/>
          <w:iCs/>
          <w:kern w:val="0"/>
          <w:sz w:val="24"/>
          <w:szCs w:val="24"/>
          <w:lang w:eastAsia="es-CO"/>
          <w14:ligatures w14:val="none"/>
        </w:rPr>
        <w:t>Reporte Anual 2023</w:t>
      </w:r>
      <w:r w:rsidRPr="00827305">
        <w:rPr>
          <w:rFonts w:ascii="Times New Roman" w:eastAsia="Times New Roman" w:hAnsi="Times New Roman" w:cs="Times New Roman"/>
          <w:kern w:val="0"/>
          <w:sz w:val="24"/>
          <w:szCs w:val="24"/>
          <w:lang w:eastAsia="es-CO"/>
          <w14:ligatures w14:val="none"/>
        </w:rPr>
        <w:t>. Caracas: CAF.</w:t>
      </w:r>
    </w:p>
    <w:p w14:paraId="05E92B27" w14:textId="77777777" w:rsidR="008E1DDB" w:rsidRPr="00827305"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27305">
        <w:rPr>
          <w:rFonts w:ascii="Times New Roman" w:eastAsia="Times New Roman" w:hAnsi="Times New Roman" w:cs="Times New Roman"/>
          <w:kern w:val="0"/>
          <w:sz w:val="24"/>
          <w:szCs w:val="24"/>
          <w:lang w:eastAsia="es-CO"/>
          <w14:ligatures w14:val="none"/>
        </w:rPr>
        <w:t xml:space="preserve">Banco de Desarrollo de América Latina y el Caribe (CAF). (2024). </w:t>
      </w:r>
      <w:r w:rsidRPr="00827305">
        <w:rPr>
          <w:rFonts w:ascii="Times New Roman" w:eastAsia="Times New Roman" w:hAnsi="Times New Roman" w:cs="Times New Roman"/>
          <w:i/>
          <w:iCs/>
          <w:kern w:val="0"/>
          <w:sz w:val="24"/>
          <w:szCs w:val="24"/>
          <w:lang w:eastAsia="es-CO"/>
          <w14:ligatures w14:val="none"/>
        </w:rPr>
        <w:t>Reporte Anual 2024</w:t>
      </w:r>
      <w:r w:rsidRPr="00827305">
        <w:rPr>
          <w:rFonts w:ascii="Times New Roman" w:eastAsia="Times New Roman" w:hAnsi="Times New Roman" w:cs="Times New Roman"/>
          <w:kern w:val="0"/>
          <w:sz w:val="24"/>
          <w:szCs w:val="24"/>
          <w:lang w:eastAsia="es-CO"/>
          <w14:ligatures w14:val="none"/>
        </w:rPr>
        <w:t>. Caracas: CAF.</w:t>
      </w:r>
    </w:p>
    <w:p w14:paraId="5D292F4A" w14:textId="77777777" w:rsidR="008E1DDB" w:rsidRPr="00827305"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27305">
        <w:rPr>
          <w:rFonts w:ascii="Times New Roman" w:eastAsia="Times New Roman" w:hAnsi="Times New Roman" w:cs="Times New Roman"/>
          <w:kern w:val="0"/>
          <w:sz w:val="24"/>
          <w:szCs w:val="24"/>
          <w:lang w:eastAsia="es-CO"/>
          <w14:ligatures w14:val="none"/>
        </w:rPr>
        <w:t xml:space="preserve">Banco de Desarrollo de América Latina y el Caribe (CAF). (2024). </w:t>
      </w:r>
      <w:r w:rsidRPr="00827305">
        <w:rPr>
          <w:rFonts w:ascii="Times New Roman" w:eastAsia="Times New Roman" w:hAnsi="Times New Roman" w:cs="Times New Roman"/>
          <w:i/>
          <w:iCs/>
          <w:kern w:val="0"/>
          <w:sz w:val="24"/>
          <w:szCs w:val="24"/>
          <w:lang w:eastAsia="es-CO"/>
          <w14:ligatures w14:val="none"/>
        </w:rPr>
        <w:t>Transformación digital para América Latina y el Caribe</w:t>
      </w:r>
      <w:r w:rsidRPr="00827305">
        <w:rPr>
          <w:rFonts w:ascii="Times New Roman" w:eastAsia="Times New Roman" w:hAnsi="Times New Roman" w:cs="Times New Roman"/>
          <w:kern w:val="0"/>
          <w:sz w:val="24"/>
          <w:szCs w:val="24"/>
          <w:lang w:eastAsia="es-CO"/>
          <w14:ligatures w14:val="none"/>
        </w:rPr>
        <w:t>. Caracas: CAF.</w:t>
      </w:r>
    </w:p>
    <w:p w14:paraId="10080599" w14:textId="77777777" w:rsidR="008E1DDB" w:rsidRPr="00827305"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27305">
        <w:rPr>
          <w:rFonts w:ascii="Times New Roman" w:eastAsia="Times New Roman" w:hAnsi="Times New Roman" w:cs="Times New Roman"/>
          <w:kern w:val="0"/>
          <w:sz w:val="24"/>
          <w:szCs w:val="24"/>
          <w:lang w:eastAsia="es-CO"/>
          <w14:ligatures w14:val="none"/>
        </w:rPr>
        <w:t xml:space="preserve">Banco de Desarrollo de América Latina y el Caribe (CAF). (2023). </w:t>
      </w:r>
      <w:proofErr w:type="spellStart"/>
      <w:r w:rsidRPr="00827305">
        <w:rPr>
          <w:rFonts w:ascii="Times New Roman" w:eastAsia="Times New Roman" w:hAnsi="Times New Roman" w:cs="Times New Roman"/>
          <w:i/>
          <w:iCs/>
          <w:kern w:val="0"/>
          <w:sz w:val="24"/>
          <w:szCs w:val="24"/>
          <w:lang w:eastAsia="es-CO"/>
          <w14:ligatures w14:val="none"/>
        </w:rPr>
        <w:t>Scioteca</w:t>
      </w:r>
      <w:proofErr w:type="spellEnd"/>
      <w:r w:rsidRPr="00827305">
        <w:rPr>
          <w:rFonts w:ascii="Times New Roman" w:eastAsia="Times New Roman" w:hAnsi="Times New Roman" w:cs="Times New Roman"/>
          <w:i/>
          <w:iCs/>
          <w:kern w:val="0"/>
          <w:sz w:val="24"/>
          <w:szCs w:val="24"/>
          <w:lang w:eastAsia="es-CO"/>
          <w14:ligatures w14:val="none"/>
        </w:rPr>
        <w:t xml:space="preserve"> CAF</w:t>
      </w:r>
      <w:r w:rsidRPr="00827305">
        <w:rPr>
          <w:rFonts w:ascii="Times New Roman" w:eastAsia="Times New Roman" w:hAnsi="Times New Roman" w:cs="Times New Roman"/>
          <w:kern w:val="0"/>
          <w:sz w:val="24"/>
          <w:szCs w:val="24"/>
          <w:lang w:eastAsia="es-CO"/>
          <w14:ligatures w14:val="none"/>
        </w:rPr>
        <w:t xml:space="preserve">. </w:t>
      </w:r>
      <w:hyperlink r:id="rId6" w:tgtFrame="_new" w:history="1">
        <w:r w:rsidRPr="00827305">
          <w:rPr>
            <w:rFonts w:ascii="Times New Roman" w:eastAsia="Times New Roman" w:hAnsi="Times New Roman" w:cs="Times New Roman"/>
            <w:color w:val="0000FF"/>
            <w:kern w:val="0"/>
            <w:sz w:val="24"/>
            <w:szCs w:val="24"/>
            <w:u w:val="single"/>
            <w:lang w:eastAsia="es-CO"/>
            <w14:ligatures w14:val="none"/>
          </w:rPr>
          <w:t>https://scioteca.caf.com</w:t>
        </w:r>
      </w:hyperlink>
    </w:p>
    <w:p w14:paraId="1ECB7EA6" w14:textId="77777777" w:rsidR="008E1DDB" w:rsidRPr="00827305"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27305">
        <w:rPr>
          <w:rFonts w:ascii="Times New Roman" w:eastAsia="Times New Roman" w:hAnsi="Times New Roman" w:cs="Times New Roman"/>
          <w:kern w:val="0"/>
          <w:sz w:val="24"/>
          <w:szCs w:val="24"/>
          <w:lang w:eastAsia="es-CO"/>
          <w14:ligatures w14:val="none"/>
        </w:rPr>
        <w:t xml:space="preserve">Comisión Económica para América Latina y el Caribe (CEPAL). (2022). </w:t>
      </w:r>
      <w:r w:rsidRPr="00827305">
        <w:rPr>
          <w:rFonts w:ascii="Times New Roman" w:eastAsia="Times New Roman" w:hAnsi="Times New Roman" w:cs="Times New Roman"/>
          <w:i/>
          <w:iCs/>
          <w:kern w:val="0"/>
          <w:sz w:val="24"/>
          <w:szCs w:val="24"/>
          <w:lang w:eastAsia="es-CO"/>
          <w14:ligatures w14:val="none"/>
        </w:rPr>
        <w:t>Ciencia, tecnología e innovación para el desarrollo sostenible</w:t>
      </w:r>
      <w:r w:rsidRPr="00827305">
        <w:rPr>
          <w:rFonts w:ascii="Times New Roman" w:eastAsia="Times New Roman" w:hAnsi="Times New Roman" w:cs="Times New Roman"/>
          <w:kern w:val="0"/>
          <w:sz w:val="24"/>
          <w:szCs w:val="24"/>
          <w:lang w:eastAsia="es-CO"/>
          <w14:ligatures w14:val="none"/>
        </w:rPr>
        <w:t>. Santiago de Chile: CEPAL.</w:t>
      </w:r>
    </w:p>
    <w:p w14:paraId="7FC66564" w14:textId="77777777" w:rsidR="008E1DDB" w:rsidRPr="00827305"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27305">
        <w:rPr>
          <w:rFonts w:ascii="Times New Roman" w:eastAsia="Times New Roman" w:hAnsi="Times New Roman" w:cs="Times New Roman"/>
          <w:kern w:val="0"/>
          <w:sz w:val="24"/>
          <w:szCs w:val="24"/>
          <w:lang w:eastAsia="es-CO"/>
          <w14:ligatures w14:val="none"/>
        </w:rPr>
        <w:t xml:space="preserve">Organización de las Naciones Unidas para la Educación, la Ciencia y la Cultura (UNESCO). (2021). </w:t>
      </w:r>
      <w:proofErr w:type="spellStart"/>
      <w:r w:rsidRPr="00827305">
        <w:rPr>
          <w:rFonts w:ascii="Times New Roman" w:eastAsia="Times New Roman" w:hAnsi="Times New Roman" w:cs="Times New Roman"/>
          <w:i/>
          <w:iCs/>
          <w:kern w:val="0"/>
          <w:sz w:val="24"/>
          <w:szCs w:val="24"/>
          <w:lang w:eastAsia="es-CO"/>
          <w14:ligatures w14:val="none"/>
        </w:rPr>
        <w:t>Reimaginar</w:t>
      </w:r>
      <w:proofErr w:type="spellEnd"/>
      <w:r w:rsidRPr="00827305">
        <w:rPr>
          <w:rFonts w:ascii="Times New Roman" w:eastAsia="Times New Roman" w:hAnsi="Times New Roman" w:cs="Times New Roman"/>
          <w:i/>
          <w:iCs/>
          <w:kern w:val="0"/>
          <w:sz w:val="24"/>
          <w:szCs w:val="24"/>
          <w:lang w:eastAsia="es-CO"/>
          <w14:ligatures w14:val="none"/>
        </w:rPr>
        <w:t xml:space="preserve"> juntos nuestros futuros: Un nuevo contrato social para la educación</w:t>
      </w:r>
      <w:r w:rsidRPr="00827305">
        <w:rPr>
          <w:rFonts w:ascii="Times New Roman" w:eastAsia="Times New Roman" w:hAnsi="Times New Roman" w:cs="Times New Roman"/>
          <w:kern w:val="0"/>
          <w:sz w:val="24"/>
          <w:szCs w:val="24"/>
          <w:lang w:eastAsia="es-CO"/>
          <w14:ligatures w14:val="none"/>
        </w:rPr>
        <w:t>. París: UNESCO.</w:t>
      </w:r>
    </w:p>
    <w:p w14:paraId="792CAB48" w14:textId="77777777" w:rsidR="008E1DDB" w:rsidRPr="00827305"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27305">
        <w:rPr>
          <w:rFonts w:ascii="Times New Roman" w:eastAsia="Times New Roman" w:hAnsi="Times New Roman" w:cs="Times New Roman"/>
          <w:kern w:val="0"/>
          <w:sz w:val="24"/>
          <w:szCs w:val="24"/>
          <w:lang w:eastAsia="es-CO"/>
          <w14:ligatures w14:val="none"/>
        </w:rPr>
        <w:t xml:space="preserve">Organización para la Cooperación y el Desarrollo Económicos (OCDE). (2023). </w:t>
      </w:r>
      <w:proofErr w:type="spellStart"/>
      <w:r w:rsidRPr="00827305">
        <w:rPr>
          <w:rFonts w:ascii="Times New Roman" w:eastAsia="Times New Roman" w:hAnsi="Times New Roman" w:cs="Times New Roman"/>
          <w:i/>
          <w:iCs/>
          <w:kern w:val="0"/>
          <w:sz w:val="24"/>
          <w:szCs w:val="24"/>
          <w:lang w:eastAsia="es-CO"/>
          <w14:ligatures w14:val="none"/>
        </w:rPr>
        <w:t>Education</w:t>
      </w:r>
      <w:proofErr w:type="spellEnd"/>
      <w:r w:rsidRPr="00827305">
        <w:rPr>
          <w:rFonts w:ascii="Times New Roman" w:eastAsia="Times New Roman" w:hAnsi="Times New Roman" w:cs="Times New Roman"/>
          <w:i/>
          <w:iCs/>
          <w:kern w:val="0"/>
          <w:sz w:val="24"/>
          <w:szCs w:val="24"/>
          <w:lang w:eastAsia="es-CO"/>
          <w14:ligatures w14:val="none"/>
        </w:rPr>
        <w:t xml:space="preserve"> at a Glance 2023: OECD </w:t>
      </w:r>
      <w:proofErr w:type="spellStart"/>
      <w:r w:rsidRPr="00827305">
        <w:rPr>
          <w:rFonts w:ascii="Times New Roman" w:eastAsia="Times New Roman" w:hAnsi="Times New Roman" w:cs="Times New Roman"/>
          <w:i/>
          <w:iCs/>
          <w:kern w:val="0"/>
          <w:sz w:val="24"/>
          <w:szCs w:val="24"/>
          <w:lang w:eastAsia="es-CO"/>
          <w14:ligatures w14:val="none"/>
        </w:rPr>
        <w:t>Indicators</w:t>
      </w:r>
      <w:proofErr w:type="spellEnd"/>
      <w:r w:rsidRPr="00827305">
        <w:rPr>
          <w:rFonts w:ascii="Times New Roman" w:eastAsia="Times New Roman" w:hAnsi="Times New Roman" w:cs="Times New Roman"/>
          <w:kern w:val="0"/>
          <w:sz w:val="24"/>
          <w:szCs w:val="24"/>
          <w:lang w:eastAsia="es-CO"/>
          <w14:ligatures w14:val="none"/>
        </w:rPr>
        <w:t>. París: OECD Publishing.</w:t>
      </w:r>
    </w:p>
    <w:p w14:paraId="41B3D008" w14:textId="77777777" w:rsidR="008E1DDB" w:rsidRPr="00827305"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827305">
        <w:rPr>
          <w:rFonts w:ascii="Times New Roman" w:eastAsia="Times New Roman" w:hAnsi="Times New Roman" w:cs="Times New Roman"/>
          <w:kern w:val="0"/>
          <w:sz w:val="24"/>
          <w:szCs w:val="24"/>
          <w:lang w:eastAsia="es-CO"/>
          <w14:ligatures w14:val="none"/>
        </w:rPr>
        <w:t xml:space="preserve">Banco Mundial. (2022). </w:t>
      </w:r>
      <w:proofErr w:type="spellStart"/>
      <w:r w:rsidRPr="00827305">
        <w:rPr>
          <w:rFonts w:ascii="Times New Roman" w:eastAsia="Times New Roman" w:hAnsi="Times New Roman" w:cs="Times New Roman"/>
          <w:i/>
          <w:iCs/>
          <w:kern w:val="0"/>
          <w:sz w:val="24"/>
          <w:szCs w:val="24"/>
          <w:lang w:eastAsia="es-CO"/>
          <w14:ligatures w14:val="none"/>
        </w:rPr>
        <w:t>Collapse</w:t>
      </w:r>
      <w:proofErr w:type="spellEnd"/>
      <w:r w:rsidRPr="00827305">
        <w:rPr>
          <w:rFonts w:ascii="Times New Roman" w:eastAsia="Times New Roman" w:hAnsi="Times New Roman" w:cs="Times New Roman"/>
          <w:i/>
          <w:iCs/>
          <w:kern w:val="0"/>
          <w:sz w:val="24"/>
          <w:szCs w:val="24"/>
          <w:lang w:eastAsia="es-CO"/>
          <w14:ligatures w14:val="none"/>
        </w:rPr>
        <w:t xml:space="preserve"> and </w:t>
      </w:r>
      <w:proofErr w:type="spellStart"/>
      <w:r w:rsidRPr="00827305">
        <w:rPr>
          <w:rFonts w:ascii="Times New Roman" w:eastAsia="Times New Roman" w:hAnsi="Times New Roman" w:cs="Times New Roman"/>
          <w:i/>
          <w:iCs/>
          <w:kern w:val="0"/>
          <w:sz w:val="24"/>
          <w:szCs w:val="24"/>
          <w:lang w:eastAsia="es-CO"/>
          <w14:ligatures w14:val="none"/>
        </w:rPr>
        <w:t>Recovery</w:t>
      </w:r>
      <w:proofErr w:type="spellEnd"/>
      <w:r w:rsidRPr="00827305">
        <w:rPr>
          <w:rFonts w:ascii="Times New Roman" w:eastAsia="Times New Roman" w:hAnsi="Times New Roman" w:cs="Times New Roman"/>
          <w:i/>
          <w:iCs/>
          <w:kern w:val="0"/>
          <w:sz w:val="24"/>
          <w:szCs w:val="24"/>
          <w:lang w:eastAsia="es-CO"/>
          <w14:ligatures w14:val="none"/>
        </w:rPr>
        <w:t xml:space="preserve">: How COVID-19 </w:t>
      </w:r>
      <w:proofErr w:type="spellStart"/>
      <w:r w:rsidRPr="00827305">
        <w:rPr>
          <w:rFonts w:ascii="Times New Roman" w:eastAsia="Times New Roman" w:hAnsi="Times New Roman" w:cs="Times New Roman"/>
          <w:i/>
          <w:iCs/>
          <w:kern w:val="0"/>
          <w:sz w:val="24"/>
          <w:szCs w:val="24"/>
          <w:lang w:eastAsia="es-CO"/>
          <w14:ligatures w14:val="none"/>
        </w:rPr>
        <w:t>Eroded</w:t>
      </w:r>
      <w:proofErr w:type="spellEnd"/>
      <w:r w:rsidRPr="00827305">
        <w:rPr>
          <w:rFonts w:ascii="Times New Roman" w:eastAsia="Times New Roman" w:hAnsi="Times New Roman" w:cs="Times New Roman"/>
          <w:i/>
          <w:iCs/>
          <w:kern w:val="0"/>
          <w:sz w:val="24"/>
          <w:szCs w:val="24"/>
          <w:lang w:eastAsia="es-CO"/>
          <w14:ligatures w14:val="none"/>
        </w:rPr>
        <w:t xml:space="preserve"> Human Capital and </w:t>
      </w:r>
      <w:proofErr w:type="spellStart"/>
      <w:r w:rsidRPr="00827305">
        <w:rPr>
          <w:rFonts w:ascii="Times New Roman" w:eastAsia="Times New Roman" w:hAnsi="Times New Roman" w:cs="Times New Roman"/>
          <w:i/>
          <w:iCs/>
          <w:kern w:val="0"/>
          <w:sz w:val="24"/>
          <w:szCs w:val="24"/>
          <w:lang w:eastAsia="es-CO"/>
          <w14:ligatures w14:val="none"/>
        </w:rPr>
        <w:t>What</w:t>
      </w:r>
      <w:proofErr w:type="spellEnd"/>
      <w:r w:rsidRPr="00827305">
        <w:rPr>
          <w:rFonts w:ascii="Times New Roman" w:eastAsia="Times New Roman" w:hAnsi="Times New Roman" w:cs="Times New Roman"/>
          <w:i/>
          <w:iCs/>
          <w:kern w:val="0"/>
          <w:sz w:val="24"/>
          <w:szCs w:val="24"/>
          <w:lang w:eastAsia="es-CO"/>
          <w14:ligatures w14:val="none"/>
        </w:rPr>
        <w:t xml:space="preserve"> </w:t>
      </w:r>
      <w:proofErr w:type="spellStart"/>
      <w:r w:rsidRPr="00827305">
        <w:rPr>
          <w:rFonts w:ascii="Times New Roman" w:eastAsia="Times New Roman" w:hAnsi="Times New Roman" w:cs="Times New Roman"/>
          <w:i/>
          <w:iCs/>
          <w:kern w:val="0"/>
          <w:sz w:val="24"/>
          <w:szCs w:val="24"/>
          <w:lang w:eastAsia="es-CO"/>
          <w14:ligatures w14:val="none"/>
        </w:rPr>
        <w:t>to</w:t>
      </w:r>
      <w:proofErr w:type="spellEnd"/>
      <w:r w:rsidRPr="00827305">
        <w:rPr>
          <w:rFonts w:ascii="Times New Roman" w:eastAsia="Times New Roman" w:hAnsi="Times New Roman" w:cs="Times New Roman"/>
          <w:i/>
          <w:iCs/>
          <w:kern w:val="0"/>
          <w:sz w:val="24"/>
          <w:szCs w:val="24"/>
          <w:lang w:eastAsia="es-CO"/>
          <w14:ligatures w14:val="none"/>
        </w:rPr>
        <w:t xml:space="preserve"> Do </w:t>
      </w:r>
      <w:proofErr w:type="spellStart"/>
      <w:r w:rsidRPr="00827305">
        <w:rPr>
          <w:rFonts w:ascii="Times New Roman" w:eastAsia="Times New Roman" w:hAnsi="Times New Roman" w:cs="Times New Roman"/>
          <w:i/>
          <w:iCs/>
          <w:kern w:val="0"/>
          <w:sz w:val="24"/>
          <w:szCs w:val="24"/>
          <w:lang w:eastAsia="es-CO"/>
          <w14:ligatures w14:val="none"/>
        </w:rPr>
        <w:t>About</w:t>
      </w:r>
      <w:proofErr w:type="spellEnd"/>
      <w:r w:rsidRPr="00827305">
        <w:rPr>
          <w:rFonts w:ascii="Times New Roman" w:eastAsia="Times New Roman" w:hAnsi="Times New Roman" w:cs="Times New Roman"/>
          <w:i/>
          <w:iCs/>
          <w:kern w:val="0"/>
          <w:sz w:val="24"/>
          <w:szCs w:val="24"/>
          <w:lang w:eastAsia="es-CO"/>
          <w14:ligatures w14:val="none"/>
        </w:rPr>
        <w:t xml:space="preserve"> </w:t>
      </w:r>
      <w:proofErr w:type="spellStart"/>
      <w:r w:rsidRPr="00827305">
        <w:rPr>
          <w:rFonts w:ascii="Times New Roman" w:eastAsia="Times New Roman" w:hAnsi="Times New Roman" w:cs="Times New Roman"/>
          <w:i/>
          <w:iCs/>
          <w:kern w:val="0"/>
          <w:sz w:val="24"/>
          <w:szCs w:val="24"/>
          <w:lang w:eastAsia="es-CO"/>
          <w14:ligatures w14:val="none"/>
        </w:rPr>
        <w:t>It</w:t>
      </w:r>
      <w:proofErr w:type="spellEnd"/>
      <w:r w:rsidRPr="00827305">
        <w:rPr>
          <w:rFonts w:ascii="Times New Roman" w:eastAsia="Times New Roman" w:hAnsi="Times New Roman" w:cs="Times New Roman"/>
          <w:kern w:val="0"/>
          <w:sz w:val="24"/>
          <w:szCs w:val="24"/>
          <w:lang w:eastAsia="es-CO"/>
          <w14:ligatures w14:val="none"/>
        </w:rPr>
        <w:t>. Washington D. C.: Banco Mundial.</w:t>
      </w:r>
    </w:p>
    <w:p w14:paraId="4C8995B1" w14:textId="77777777" w:rsidR="00BD2BCE" w:rsidRDefault="00BD2BCE" w:rsidP="008E1DDB">
      <w:pPr>
        <w:spacing w:before="100" w:beforeAutospacing="1" w:after="100" w:afterAutospacing="1" w:line="240" w:lineRule="auto"/>
        <w:outlineLvl w:val="0"/>
        <w:rPr>
          <w:rFonts w:ascii="Times New Roman" w:eastAsia="Times New Roman" w:hAnsi="Times New Roman" w:cs="Times New Roman"/>
          <w:b/>
          <w:bCs/>
          <w:kern w:val="36"/>
          <w:sz w:val="28"/>
          <w:szCs w:val="28"/>
          <w:lang w:eastAsia="es-CO"/>
          <w14:ligatures w14:val="none"/>
        </w:rPr>
      </w:pPr>
    </w:p>
    <w:p w14:paraId="2A40ABE2" w14:textId="450ADB3D" w:rsidR="008E1DDB" w:rsidRPr="00B816BE" w:rsidRDefault="008E1DDB" w:rsidP="008E1DDB">
      <w:pPr>
        <w:spacing w:before="100" w:beforeAutospacing="1" w:after="100" w:afterAutospacing="1" w:line="240" w:lineRule="auto"/>
        <w:outlineLvl w:val="0"/>
        <w:rPr>
          <w:rFonts w:ascii="Times New Roman" w:eastAsia="Times New Roman" w:hAnsi="Times New Roman" w:cs="Times New Roman"/>
          <w:b/>
          <w:bCs/>
          <w:kern w:val="36"/>
          <w:sz w:val="28"/>
          <w:szCs w:val="28"/>
          <w:lang w:eastAsia="es-CO"/>
          <w14:ligatures w14:val="none"/>
        </w:rPr>
      </w:pPr>
      <w:r w:rsidRPr="00B816BE">
        <w:rPr>
          <w:rFonts w:ascii="Times New Roman" w:eastAsia="Times New Roman" w:hAnsi="Times New Roman" w:cs="Times New Roman"/>
          <w:b/>
          <w:bCs/>
          <w:kern w:val="36"/>
          <w:sz w:val="28"/>
          <w:szCs w:val="28"/>
          <w:lang w:eastAsia="es-CO"/>
          <w14:ligatures w14:val="none"/>
        </w:rPr>
        <w:t>ANEXO 1</w:t>
      </w:r>
    </w:p>
    <w:p w14:paraId="0E0EC2F0" w14:textId="77777777" w:rsidR="008E1DDB" w:rsidRPr="00F05A82" w:rsidRDefault="008E1DDB" w:rsidP="008E1DDB">
      <w:pPr>
        <w:spacing w:before="100" w:beforeAutospacing="1" w:after="100" w:afterAutospacing="1" w:line="240" w:lineRule="auto"/>
        <w:outlineLvl w:val="1"/>
        <w:rPr>
          <w:rFonts w:ascii="Times New Roman" w:eastAsia="Times New Roman" w:hAnsi="Times New Roman" w:cs="Times New Roman"/>
          <w:b/>
          <w:bCs/>
          <w:kern w:val="0"/>
          <w:sz w:val="36"/>
          <w:szCs w:val="36"/>
          <w:lang w:eastAsia="es-CO"/>
          <w14:ligatures w14:val="none"/>
        </w:rPr>
      </w:pPr>
      <w:r w:rsidRPr="00F05A82">
        <w:rPr>
          <w:rFonts w:ascii="Times New Roman" w:eastAsia="Times New Roman" w:hAnsi="Times New Roman" w:cs="Times New Roman"/>
          <w:b/>
          <w:bCs/>
          <w:kern w:val="0"/>
          <w:sz w:val="36"/>
          <w:szCs w:val="36"/>
          <w:lang w:eastAsia="es-CO"/>
          <w14:ligatures w14:val="none"/>
        </w:rPr>
        <w:t>Cuadro sintético de análisis crítico de las estrategias de CAF (2021–2026)</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3"/>
        <w:gridCol w:w="2212"/>
        <w:gridCol w:w="1835"/>
        <w:gridCol w:w="1465"/>
        <w:gridCol w:w="2083"/>
      </w:tblGrid>
      <w:tr w:rsidR="008E1DDB" w:rsidRPr="00F05A82" w14:paraId="727A6C8A" w14:textId="77777777" w:rsidTr="0067332C">
        <w:trPr>
          <w:tblHeader/>
          <w:tblCellSpacing w:w="15" w:type="dxa"/>
        </w:trPr>
        <w:tc>
          <w:tcPr>
            <w:tcW w:w="0" w:type="auto"/>
            <w:vAlign w:val="center"/>
            <w:hideMark/>
          </w:tcPr>
          <w:p w14:paraId="67592FC0" w14:textId="77777777" w:rsidR="008E1DDB" w:rsidRPr="00F05A82" w:rsidRDefault="008E1DDB" w:rsidP="0067332C">
            <w:pPr>
              <w:spacing w:after="0" w:line="240" w:lineRule="auto"/>
              <w:jc w:val="center"/>
              <w:rPr>
                <w:rFonts w:ascii="Times New Roman" w:eastAsia="Times New Roman" w:hAnsi="Times New Roman" w:cs="Times New Roman"/>
                <w:b/>
                <w:bCs/>
                <w:kern w:val="0"/>
                <w:sz w:val="24"/>
                <w:szCs w:val="24"/>
                <w:lang w:eastAsia="es-CO"/>
                <w14:ligatures w14:val="none"/>
              </w:rPr>
            </w:pPr>
            <w:r w:rsidRPr="00F05A82">
              <w:rPr>
                <w:rFonts w:ascii="Times New Roman" w:eastAsia="Times New Roman" w:hAnsi="Times New Roman" w:cs="Times New Roman"/>
                <w:b/>
                <w:bCs/>
                <w:kern w:val="0"/>
                <w:sz w:val="24"/>
                <w:szCs w:val="24"/>
                <w:lang w:eastAsia="es-CO"/>
                <w14:ligatures w14:val="none"/>
              </w:rPr>
              <w:t>Eje estratégico</w:t>
            </w:r>
          </w:p>
        </w:tc>
        <w:tc>
          <w:tcPr>
            <w:tcW w:w="0" w:type="auto"/>
            <w:vAlign w:val="center"/>
            <w:hideMark/>
          </w:tcPr>
          <w:p w14:paraId="6389CC4A" w14:textId="77777777" w:rsidR="008E1DDB" w:rsidRPr="00F05A82" w:rsidRDefault="008E1DDB" w:rsidP="0067332C">
            <w:pPr>
              <w:spacing w:after="0" w:line="240" w:lineRule="auto"/>
              <w:jc w:val="center"/>
              <w:rPr>
                <w:rFonts w:ascii="Times New Roman" w:eastAsia="Times New Roman" w:hAnsi="Times New Roman" w:cs="Times New Roman"/>
                <w:b/>
                <w:bCs/>
                <w:kern w:val="0"/>
                <w:sz w:val="24"/>
                <w:szCs w:val="24"/>
                <w:lang w:eastAsia="es-CO"/>
                <w14:ligatures w14:val="none"/>
              </w:rPr>
            </w:pPr>
            <w:r w:rsidRPr="00F05A82">
              <w:rPr>
                <w:rFonts w:ascii="Times New Roman" w:eastAsia="Times New Roman" w:hAnsi="Times New Roman" w:cs="Times New Roman"/>
                <w:b/>
                <w:bCs/>
                <w:kern w:val="0"/>
                <w:sz w:val="24"/>
                <w:szCs w:val="24"/>
                <w:lang w:eastAsia="es-CO"/>
                <w14:ligatures w14:val="none"/>
              </w:rPr>
              <w:t>Principales acciones de CAF</w:t>
            </w:r>
          </w:p>
        </w:tc>
        <w:tc>
          <w:tcPr>
            <w:tcW w:w="0" w:type="auto"/>
            <w:vAlign w:val="center"/>
            <w:hideMark/>
          </w:tcPr>
          <w:p w14:paraId="386F102B" w14:textId="77777777" w:rsidR="008E1DDB" w:rsidRPr="00F05A82" w:rsidRDefault="008E1DDB" w:rsidP="0067332C">
            <w:pPr>
              <w:spacing w:after="0" w:line="240" w:lineRule="auto"/>
              <w:jc w:val="center"/>
              <w:rPr>
                <w:rFonts w:ascii="Times New Roman" w:eastAsia="Times New Roman" w:hAnsi="Times New Roman" w:cs="Times New Roman"/>
                <w:b/>
                <w:bCs/>
                <w:kern w:val="0"/>
                <w:sz w:val="24"/>
                <w:szCs w:val="24"/>
                <w:lang w:eastAsia="es-CO"/>
                <w14:ligatures w14:val="none"/>
              </w:rPr>
            </w:pPr>
            <w:r w:rsidRPr="00F05A82">
              <w:rPr>
                <w:rFonts w:ascii="Times New Roman" w:eastAsia="Times New Roman" w:hAnsi="Times New Roman" w:cs="Times New Roman"/>
                <w:b/>
                <w:bCs/>
                <w:kern w:val="0"/>
                <w:sz w:val="24"/>
                <w:szCs w:val="24"/>
                <w:lang w:eastAsia="es-CO"/>
                <w14:ligatures w14:val="none"/>
              </w:rPr>
              <w:t>Fortalezas identificadas</w:t>
            </w:r>
          </w:p>
        </w:tc>
        <w:tc>
          <w:tcPr>
            <w:tcW w:w="0" w:type="auto"/>
            <w:vAlign w:val="center"/>
            <w:hideMark/>
          </w:tcPr>
          <w:p w14:paraId="17CC20EF" w14:textId="77777777" w:rsidR="008E1DDB" w:rsidRPr="00F05A82" w:rsidRDefault="008E1DDB" w:rsidP="0067332C">
            <w:pPr>
              <w:spacing w:after="0" w:line="240" w:lineRule="auto"/>
              <w:jc w:val="center"/>
              <w:rPr>
                <w:rFonts w:ascii="Times New Roman" w:eastAsia="Times New Roman" w:hAnsi="Times New Roman" w:cs="Times New Roman"/>
                <w:b/>
                <w:bCs/>
                <w:kern w:val="0"/>
                <w:sz w:val="24"/>
                <w:szCs w:val="24"/>
                <w:lang w:eastAsia="es-CO"/>
                <w14:ligatures w14:val="none"/>
              </w:rPr>
            </w:pPr>
            <w:r w:rsidRPr="00F05A82">
              <w:rPr>
                <w:rFonts w:ascii="Times New Roman" w:eastAsia="Times New Roman" w:hAnsi="Times New Roman" w:cs="Times New Roman"/>
                <w:b/>
                <w:bCs/>
                <w:kern w:val="0"/>
                <w:sz w:val="24"/>
                <w:szCs w:val="24"/>
                <w:lang w:eastAsia="es-CO"/>
                <w14:ligatures w14:val="none"/>
              </w:rPr>
              <w:t>Debilidades observadas</w:t>
            </w:r>
          </w:p>
        </w:tc>
        <w:tc>
          <w:tcPr>
            <w:tcW w:w="0" w:type="auto"/>
            <w:vAlign w:val="center"/>
            <w:hideMark/>
          </w:tcPr>
          <w:p w14:paraId="0D18261A" w14:textId="77777777" w:rsidR="008E1DDB" w:rsidRPr="00F05A82" w:rsidRDefault="008E1DDB" w:rsidP="0067332C">
            <w:pPr>
              <w:spacing w:after="0" w:line="240" w:lineRule="auto"/>
              <w:jc w:val="center"/>
              <w:rPr>
                <w:rFonts w:ascii="Times New Roman" w:eastAsia="Times New Roman" w:hAnsi="Times New Roman" w:cs="Times New Roman"/>
                <w:b/>
                <w:bCs/>
                <w:kern w:val="0"/>
                <w:sz w:val="24"/>
                <w:szCs w:val="24"/>
                <w:lang w:eastAsia="es-CO"/>
                <w14:ligatures w14:val="none"/>
              </w:rPr>
            </w:pPr>
            <w:r w:rsidRPr="00F05A82">
              <w:rPr>
                <w:rFonts w:ascii="Times New Roman" w:eastAsia="Times New Roman" w:hAnsi="Times New Roman" w:cs="Times New Roman"/>
                <w:b/>
                <w:bCs/>
                <w:kern w:val="0"/>
                <w:sz w:val="24"/>
                <w:szCs w:val="24"/>
                <w:lang w:eastAsia="es-CO"/>
                <w14:ligatures w14:val="none"/>
              </w:rPr>
              <w:t>Recomendaciones</w:t>
            </w:r>
          </w:p>
        </w:tc>
      </w:tr>
      <w:tr w:rsidR="008E1DDB" w:rsidRPr="00F05A82" w14:paraId="6BB7F83E" w14:textId="77777777" w:rsidTr="0067332C">
        <w:trPr>
          <w:tblCellSpacing w:w="15" w:type="dxa"/>
        </w:trPr>
        <w:tc>
          <w:tcPr>
            <w:tcW w:w="0" w:type="auto"/>
            <w:vAlign w:val="center"/>
            <w:hideMark/>
          </w:tcPr>
          <w:p w14:paraId="5DA2D3B5" w14:textId="77777777" w:rsidR="008E1DDB" w:rsidRPr="00F05A82"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b/>
                <w:bCs/>
                <w:kern w:val="0"/>
                <w:sz w:val="24"/>
                <w:szCs w:val="24"/>
                <w:lang w:eastAsia="es-CO"/>
                <w14:ligatures w14:val="none"/>
              </w:rPr>
              <w:t>Educación</w:t>
            </w:r>
          </w:p>
        </w:tc>
        <w:tc>
          <w:tcPr>
            <w:tcW w:w="0" w:type="auto"/>
            <w:vAlign w:val="center"/>
            <w:hideMark/>
          </w:tcPr>
          <w:p w14:paraId="4AA09E0C" w14:textId="77777777" w:rsidR="008E1DDB" w:rsidRPr="00F05A82"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kern w:val="0"/>
                <w:sz w:val="24"/>
                <w:szCs w:val="24"/>
                <w:lang w:eastAsia="es-CO"/>
                <w14:ligatures w14:val="none"/>
              </w:rPr>
              <w:t xml:space="preserve">Financiamiento de infraestructura educativa, transformación digital, </w:t>
            </w:r>
            <w:r w:rsidRPr="00F05A82">
              <w:rPr>
                <w:rFonts w:ascii="Times New Roman" w:eastAsia="Times New Roman" w:hAnsi="Times New Roman" w:cs="Times New Roman"/>
                <w:kern w:val="0"/>
                <w:sz w:val="24"/>
                <w:szCs w:val="24"/>
                <w:lang w:eastAsia="es-CO"/>
                <w14:ligatures w14:val="none"/>
              </w:rPr>
              <w:lastRenderedPageBreak/>
              <w:t>fortalecimiento institucional y formación docente.</w:t>
            </w:r>
          </w:p>
        </w:tc>
        <w:tc>
          <w:tcPr>
            <w:tcW w:w="0" w:type="auto"/>
            <w:vAlign w:val="center"/>
            <w:hideMark/>
          </w:tcPr>
          <w:p w14:paraId="0EDBFD4A" w14:textId="77777777" w:rsidR="008E1DDB" w:rsidRPr="00F05A82"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kern w:val="0"/>
                <w:sz w:val="24"/>
                <w:szCs w:val="24"/>
                <w:lang w:eastAsia="es-CO"/>
                <w14:ligatures w14:val="none"/>
              </w:rPr>
              <w:lastRenderedPageBreak/>
              <w:t xml:space="preserve">Visión integral de la educación como motor del desarrollo; apoyo a la </w:t>
            </w:r>
            <w:r w:rsidRPr="00F05A82">
              <w:rPr>
                <w:rFonts w:ascii="Times New Roman" w:eastAsia="Times New Roman" w:hAnsi="Times New Roman" w:cs="Times New Roman"/>
                <w:kern w:val="0"/>
                <w:sz w:val="24"/>
                <w:szCs w:val="24"/>
                <w:lang w:eastAsia="es-CO"/>
                <w14:ligatures w14:val="none"/>
              </w:rPr>
              <w:lastRenderedPageBreak/>
              <w:t>modernización de los sistemas educativos.</w:t>
            </w:r>
          </w:p>
        </w:tc>
        <w:tc>
          <w:tcPr>
            <w:tcW w:w="0" w:type="auto"/>
            <w:vAlign w:val="center"/>
            <w:hideMark/>
          </w:tcPr>
          <w:p w14:paraId="2890CBF0" w14:textId="77777777" w:rsidR="008E1DDB" w:rsidRPr="00F05A82"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kern w:val="0"/>
                <w:sz w:val="24"/>
                <w:szCs w:val="24"/>
                <w:lang w:eastAsia="es-CO"/>
                <w14:ligatures w14:val="none"/>
              </w:rPr>
              <w:lastRenderedPageBreak/>
              <w:t xml:space="preserve">Predominio de indicadores de ejecución sobre indicadores de </w:t>
            </w:r>
            <w:r w:rsidRPr="00F05A82">
              <w:rPr>
                <w:rFonts w:ascii="Times New Roman" w:eastAsia="Times New Roman" w:hAnsi="Times New Roman" w:cs="Times New Roman"/>
                <w:kern w:val="0"/>
                <w:sz w:val="24"/>
                <w:szCs w:val="24"/>
                <w:lang w:eastAsia="es-CO"/>
                <w14:ligatures w14:val="none"/>
              </w:rPr>
              <w:lastRenderedPageBreak/>
              <w:t>impacto en el aprendizaje.</w:t>
            </w:r>
          </w:p>
        </w:tc>
        <w:tc>
          <w:tcPr>
            <w:tcW w:w="0" w:type="auto"/>
            <w:vAlign w:val="center"/>
            <w:hideMark/>
          </w:tcPr>
          <w:p w14:paraId="55EC77AC" w14:textId="77777777" w:rsidR="008E1DDB" w:rsidRPr="00F05A82"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kern w:val="0"/>
                <w:sz w:val="24"/>
                <w:szCs w:val="24"/>
                <w:lang w:eastAsia="es-CO"/>
                <w14:ligatures w14:val="none"/>
              </w:rPr>
              <w:lastRenderedPageBreak/>
              <w:t xml:space="preserve">Incorporar evaluaciones longitudinales sobre calidad educativa, permanencia y </w:t>
            </w:r>
            <w:r w:rsidRPr="00F05A82">
              <w:rPr>
                <w:rFonts w:ascii="Times New Roman" w:eastAsia="Times New Roman" w:hAnsi="Times New Roman" w:cs="Times New Roman"/>
                <w:kern w:val="0"/>
                <w:sz w:val="24"/>
                <w:szCs w:val="24"/>
                <w:lang w:eastAsia="es-CO"/>
                <w14:ligatures w14:val="none"/>
              </w:rPr>
              <w:lastRenderedPageBreak/>
              <w:t>resultados de aprendizaje.</w:t>
            </w:r>
          </w:p>
        </w:tc>
      </w:tr>
      <w:tr w:rsidR="008E1DDB" w:rsidRPr="00F05A82" w14:paraId="3E639EF9" w14:textId="77777777" w:rsidTr="0067332C">
        <w:trPr>
          <w:tblCellSpacing w:w="15" w:type="dxa"/>
        </w:trPr>
        <w:tc>
          <w:tcPr>
            <w:tcW w:w="0" w:type="auto"/>
            <w:vAlign w:val="center"/>
            <w:hideMark/>
          </w:tcPr>
          <w:p w14:paraId="0BBB5EE8" w14:textId="77777777" w:rsidR="008E1DDB" w:rsidRPr="00F05A82"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b/>
                <w:bCs/>
                <w:kern w:val="0"/>
                <w:sz w:val="24"/>
                <w:szCs w:val="24"/>
                <w:lang w:eastAsia="es-CO"/>
                <w14:ligatures w14:val="none"/>
              </w:rPr>
              <w:t>Educación Superior</w:t>
            </w:r>
          </w:p>
        </w:tc>
        <w:tc>
          <w:tcPr>
            <w:tcW w:w="0" w:type="auto"/>
            <w:vAlign w:val="center"/>
            <w:hideMark/>
          </w:tcPr>
          <w:p w14:paraId="2E34B1D7" w14:textId="77777777" w:rsidR="008E1DDB" w:rsidRPr="00F05A82"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kern w:val="0"/>
                <w:sz w:val="24"/>
                <w:szCs w:val="24"/>
                <w:lang w:eastAsia="es-CO"/>
                <w14:ligatures w14:val="none"/>
              </w:rPr>
              <w:t>Cooperación universitaria, fortalecimiento institucional, internacionalización y movilidad académica.</w:t>
            </w:r>
          </w:p>
        </w:tc>
        <w:tc>
          <w:tcPr>
            <w:tcW w:w="0" w:type="auto"/>
            <w:vAlign w:val="center"/>
            <w:hideMark/>
          </w:tcPr>
          <w:p w14:paraId="36974A7D" w14:textId="77777777" w:rsidR="008E1DDB" w:rsidRPr="00F05A82"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kern w:val="0"/>
                <w:sz w:val="24"/>
                <w:szCs w:val="24"/>
                <w:lang w:eastAsia="es-CO"/>
                <w14:ligatures w14:val="none"/>
              </w:rPr>
              <w:t>Reconocimiento de las universidades como actores estratégicos para el desarrollo sostenible.</w:t>
            </w:r>
          </w:p>
        </w:tc>
        <w:tc>
          <w:tcPr>
            <w:tcW w:w="0" w:type="auto"/>
            <w:vAlign w:val="center"/>
            <w:hideMark/>
          </w:tcPr>
          <w:p w14:paraId="65117EE4" w14:textId="77777777" w:rsidR="008E1DDB" w:rsidRPr="00F05A82"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kern w:val="0"/>
                <w:sz w:val="24"/>
                <w:szCs w:val="24"/>
                <w:lang w:eastAsia="es-CO"/>
                <w14:ligatures w14:val="none"/>
              </w:rPr>
              <w:t>Escasa articulación entre universidad, empresa y Estado en varios proyectos.</w:t>
            </w:r>
          </w:p>
        </w:tc>
        <w:tc>
          <w:tcPr>
            <w:tcW w:w="0" w:type="auto"/>
            <w:vAlign w:val="center"/>
            <w:hideMark/>
          </w:tcPr>
          <w:p w14:paraId="6B3DD6BA" w14:textId="77777777" w:rsidR="008E1DDB" w:rsidRPr="00F05A82"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kern w:val="0"/>
                <w:sz w:val="24"/>
                <w:szCs w:val="24"/>
                <w:lang w:eastAsia="es-CO"/>
                <w14:ligatures w14:val="none"/>
              </w:rPr>
              <w:t>Impulsar ecosistemas regionales de innovación y fortalecer la investigación aplicada.</w:t>
            </w:r>
          </w:p>
        </w:tc>
      </w:tr>
      <w:tr w:rsidR="008E1DDB" w:rsidRPr="00F05A82" w14:paraId="6D4E95F5" w14:textId="77777777" w:rsidTr="0067332C">
        <w:trPr>
          <w:tblCellSpacing w:w="15" w:type="dxa"/>
        </w:trPr>
        <w:tc>
          <w:tcPr>
            <w:tcW w:w="0" w:type="auto"/>
            <w:vAlign w:val="center"/>
            <w:hideMark/>
          </w:tcPr>
          <w:p w14:paraId="0ED6849C" w14:textId="77777777" w:rsidR="008E1DDB" w:rsidRPr="00F05A82"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b/>
                <w:bCs/>
                <w:kern w:val="0"/>
                <w:sz w:val="24"/>
                <w:szCs w:val="24"/>
                <w:lang w:eastAsia="es-CO"/>
                <w14:ligatures w14:val="none"/>
              </w:rPr>
              <w:t>Ciencia</w:t>
            </w:r>
          </w:p>
        </w:tc>
        <w:tc>
          <w:tcPr>
            <w:tcW w:w="0" w:type="auto"/>
            <w:vAlign w:val="center"/>
            <w:hideMark/>
          </w:tcPr>
          <w:p w14:paraId="56AA1974" w14:textId="77777777" w:rsidR="008E1DDB" w:rsidRPr="00F05A82"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kern w:val="0"/>
                <w:sz w:val="24"/>
                <w:szCs w:val="24"/>
                <w:lang w:eastAsia="es-CO"/>
                <w14:ligatures w14:val="none"/>
              </w:rPr>
              <w:t>Apoyo a centros de investigación, cooperación científica y generación de conocimiento.</w:t>
            </w:r>
          </w:p>
        </w:tc>
        <w:tc>
          <w:tcPr>
            <w:tcW w:w="0" w:type="auto"/>
            <w:vAlign w:val="center"/>
            <w:hideMark/>
          </w:tcPr>
          <w:p w14:paraId="569F6D9A" w14:textId="77777777" w:rsidR="008E1DDB" w:rsidRPr="00F05A82"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kern w:val="0"/>
                <w:sz w:val="24"/>
                <w:szCs w:val="24"/>
                <w:lang w:eastAsia="es-CO"/>
                <w14:ligatures w14:val="none"/>
              </w:rPr>
              <w:t>Producción técnica de alta calidad y apoyo a políticas públicas basadas en evidencia.</w:t>
            </w:r>
          </w:p>
        </w:tc>
        <w:tc>
          <w:tcPr>
            <w:tcW w:w="0" w:type="auto"/>
            <w:vAlign w:val="center"/>
            <w:hideMark/>
          </w:tcPr>
          <w:p w14:paraId="3D3C8D74" w14:textId="77777777" w:rsidR="008E1DDB" w:rsidRPr="00F05A82"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kern w:val="0"/>
                <w:sz w:val="24"/>
                <w:szCs w:val="24"/>
                <w:lang w:eastAsia="es-CO"/>
                <w14:ligatures w14:val="none"/>
              </w:rPr>
              <w:t>Baja inversión regional en I+D limita el impacto de las iniciativas.</w:t>
            </w:r>
          </w:p>
        </w:tc>
        <w:tc>
          <w:tcPr>
            <w:tcW w:w="0" w:type="auto"/>
            <w:vAlign w:val="center"/>
            <w:hideMark/>
          </w:tcPr>
          <w:p w14:paraId="570B732E" w14:textId="77777777" w:rsidR="008E1DDB" w:rsidRPr="00F05A82"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kern w:val="0"/>
                <w:sz w:val="24"/>
                <w:szCs w:val="24"/>
                <w:lang w:eastAsia="es-CO"/>
                <w14:ligatures w14:val="none"/>
              </w:rPr>
              <w:t>Incrementar el financiamiento competitivo para investigación regional colaborativa.</w:t>
            </w:r>
          </w:p>
        </w:tc>
      </w:tr>
      <w:tr w:rsidR="008E1DDB" w:rsidRPr="00F05A82" w14:paraId="37EF2C6A" w14:textId="77777777" w:rsidTr="0067332C">
        <w:trPr>
          <w:tblCellSpacing w:w="15" w:type="dxa"/>
        </w:trPr>
        <w:tc>
          <w:tcPr>
            <w:tcW w:w="0" w:type="auto"/>
            <w:vAlign w:val="center"/>
            <w:hideMark/>
          </w:tcPr>
          <w:p w14:paraId="7ADBC792" w14:textId="77777777" w:rsidR="008E1DDB" w:rsidRPr="00F05A82"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b/>
                <w:bCs/>
                <w:kern w:val="0"/>
                <w:sz w:val="24"/>
                <w:szCs w:val="24"/>
                <w:lang w:eastAsia="es-CO"/>
                <w14:ligatures w14:val="none"/>
              </w:rPr>
              <w:t>Tecnología</w:t>
            </w:r>
          </w:p>
        </w:tc>
        <w:tc>
          <w:tcPr>
            <w:tcW w:w="0" w:type="auto"/>
            <w:vAlign w:val="center"/>
            <w:hideMark/>
          </w:tcPr>
          <w:p w14:paraId="5C8417B6" w14:textId="77777777" w:rsidR="008E1DDB" w:rsidRPr="00F05A82"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kern w:val="0"/>
                <w:sz w:val="24"/>
                <w:szCs w:val="24"/>
                <w:lang w:eastAsia="es-CO"/>
                <w14:ligatures w14:val="none"/>
              </w:rPr>
              <w:t>Transformación digital, gobierno electrónico, conectividad y fortalecimiento institucional.</w:t>
            </w:r>
          </w:p>
        </w:tc>
        <w:tc>
          <w:tcPr>
            <w:tcW w:w="0" w:type="auto"/>
            <w:vAlign w:val="center"/>
            <w:hideMark/>
          </w:tcPr>
          <w:p w14:paraId="528E7BB4" w14:textId="77777777" w:rsidR="008E1DDB" w:rsidRPr="00F05A82"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kern w:val="0"/>
                <w:sz w:val="24"/>
                <w:szCs w:val="24"/>
                <w:lang w:eastAsia="es-CO"/>
                <w14:ligatures w14:val="none"/>
              </w:rPr>
              <w:t>Promoción de la digitalización como instrumento para mejorar la gestión pública.</w:t>
            </w:r>
          </w:p>
        </w:tc>
        <w:tc>
          <w:tcPr>
            <w:tcW w:w="0" w:type="auto"/>
            <w:vAlign w:val="center"/>
            <w:hideMark/>
          </w:tcPr>
          <w:p w14:paraId="3F2C9962" w14:textId="77777777" w:rsidR="008E1DDB" w:rsidRPr="00F05A82"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kern w:val="0"/>
                <w:sz w:val="24"/>
                <w:szCs w:val="24"/>
                <w:lang w:eastAsia="es-CO"/>
                <w14:ligatures w14:val="none"/>
              </w:rPr>
              <w:t>Persisten brechas de acceso y capacidades digitales entre países y territorios.</w:t>
            </w:r>
          </w:p>
        </w:tc>
        <w:tc>
          <w:tcPr>
            <w:tcW w:w="0" w:type="auto"/>
            <w:vAlign w:val="center"/>
            <w:hideMark/>
          </w:tcPr>
          <w:p w14:paraId="2D051B25" w14:textId="77777777" w:rsidR="008E1DDB" w:rsidRPr="00F05A82"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kern w:val="0"/>
                <w:sz w:val="24"/>
                <w:szCs w:val="24"/>
                <w:lang w:eastAsia="es-CO"/>
                <w14:ligatures w14:val="none"/>
              </w:rPr>
              <w:t>Fortalecer programas de alfabetización digital y ciberseguridad institucional.</w:t>
            </w:r>
          </w:p>
        </w:tc>
      </w:tr>
      <w:tr w:rsidR="008E1DDB" w:rsidRPr="00F05A82" w14:paraId="0A9492CE" w14:textId="77777777" w:rsidTr="0067332C">
        <w:trPr>
          <w:tblCellSpacing w:w="15" w:type="dxa"/>
        </w:trPr>
        <w:tc>
          <w:tcPr>
            <w:tcW w:w="0" w:type="auto"/>
            <w:vAlign w:val="center"/>
            <w:hideMark/>
          </w:tcPr>
          <w:p w14:paraId="6D87AD68" w14:textId="77777777" w:rsidR="008E1DDB" w:rsidRPr="00F05A82"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b/>
                <w:bCs/>
                <w:kern w:val="0"/>
                <w:sz w:val="24"/>
                <w:szCs w:val="24"/>
                <w:lang w:eastAsia="es-CO"/>
                <w14:ligatures w14:val="none"/>
              </w:rPr>
              <w:t>Innovación</w:t>
            </w:r>
          </w:p>
        </w:tc>
        <w:tc>
          <w:tcPr>
            <w:tcW w:w="0" w:type="auto"/>
            <w:vAlign w:val="center"/>
            <w:hideMark/>
          </w:tcPr>
          <w:p w14:paraId="091452E4" w14:textId="77777777" w:rsidR="008E1DDB" w:rsidRPr="00F05A82"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kern w:val="0"/>
                <w:sz w:val="24"/>
                <w:szCs w:val="24"/>
                <w:lang w:eastAsia="es-CO"/>
                <w14:ligatures w14:val="none"/>
              </w:rPr>
              <w:t>Emprendimiento, ecosistemas de innovación, asistencia técnica y fortalecimiento institucional.</w:t>
            </w:r>
          </w:p>
        </w:tc>
        <w:tc>
          <w:tcPr>
            <w:tcW w:w="0" w:type="auto"/>
            <w:vAlign w:val="center"/>
            <w:hideMark/>
          </w:tcPr>
          <w:p w14:paraId="6BBC9BB7" w14:textId="77777777" w:rsidR="008E1DDB" w:rsidRPr="00F05A82"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kern w:val="0"/>
                <w:sz w:val="24"/>
                <w:szCs w:val="24"/>
                <w:lang w:eastAsia="es-CO"/>
                <w14:ligatures w14:val="none"/>
              </w:rPr>
              <w:t>Enfoque sistémico de innovación y cooperación regional.</w:t>
            </w:r>
          </w:p>
        </w:tc>
        <w:tc>
          <w:tcPr>
            <w:tcW w:w="0" w:type="auto"/>
            <w:vAlign w:val="center"/>
            <w:hideMark/>
          </w:tcPr>
          <w:p w14:paraId="3DAE9FBC" w14:textId="77777777" w:rsidR="008E1DDB" w:rsidRPr="00F05A82"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kern w:val="0"/>
                <w:sz w:val="24"/>
                <w:szCs w:val="24"/>
                <w:lang w:eastAsia="es-CO"/>
                <w14:ligatures w14:val="none"/>
              </w:rPr>
              <w:t>Escasa medición de la transferencia tecnológica y del impacto económico de la innovación.</w:t>
            </w:r>
          </w:p>
        </w:tc>
        <w:tc>
          <w:tcPr>
            <w:tcW w:w="0" w:type="auto"/>
            <w:vAlign w:val="center"/>
            <w:hideMark/>
          </w:tcPr>
          <w:p w14:paraId="6F32CAA2" w14:textId="77777777" w:rsidR="008E1DDB" w:rsidRPr="00F05A82"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kern w:val="0"/>
                <w:sz w:val="24"/>
                <w:szCs w:val="24"/>
                <w:lang w:eastAsia="es-CO"/>
                <w14:ligatures w14:val="none"/>
              </w:rPr>
              <w:t>Desarrollar indicadores regionales de innovación e impulsar la vinculación universidad–empresa–Estado.</w:t>
            </w:r>
          </w:p>
        </w:tc>
      </w:tr>
    </w:tbl>
    <w:p w14:paraId="00D09652" w14:textId="77777777" w:rsidR="008E1DDB" w:rsidRPr="00F05A82" w:rsidRDefault="00000000" w:rsidP="008E1DDB">
      <w:pPr>
        <w:spacing w:after="0" w:line="240" w:lineRule="auto"/>
        <w:rPr>
          <w:rFonts w:ascii="Times New Roman" w:eastAsia="Times New Roman" w:hAnsi="Times New Roman" w:cs="Times New Roman"/>
          <w:kern w:val="0"/>
          <w:sz w:val="24"/>
          <w:szCs w:val="24"/>
          <w:lang w:eastAsia="es-CO"/>
          <w14:ligatures w14:val="none"/>
        </w:rPr>
      </w:pPr>
      <w:r>
        <w:rPr>
          <w:rFonts w:ascii="Times New Roman" w:eastAsia="Times New Roman" w:hAnsi="Times New Roman" w:cs="Times New Roman"/>
          <w:kern w:val="0"/>
          <w:sz w:val="24"/>
          <w:szCs w:val="24"/>
          <w:lang w:eastAsia="es-CO"/>
          <w14:ligatures w14:val="none"/>
        </w:rPr>
        <w:pict w14:anchorId="30B5EDE6">
          <v:rect id="_x0000_i1025" style="width:0;height:1.5pt" o:hralign="center" o:hrstd="t" o:hr="t" fillcolor="#a0a0a0" stroked="f"/>
        </w:pict>
      </w:r>
    </w:p>
    <w:p w14:paraId="5D238514" w14:textId="77777777" w:rsidR="008E1DDB" w:rsidRPr="005541E4" w:rsidRDefault="008E1DDB" w:rsidP="008E1DDB">
      <w:pPr>
        <w:spacing w:before="100" w:beforeAutospacing="1" w:after="100" w:afterAutospacing="1" w:line="240" w:lineRule="auto"/>
        <w:outlineLvl w:val="0"/>
        <w:rPr>
          <w:rFonts w:ascii="Times New Roman" w:eastAsia="Times New Roman" w:hAnsi="Times New Roman" w:cs="Times New Roman"/>
          <w:b/>
          <w:bCs/>
          <w:kern w:val="36"/>
          <w:sz w:val="28"/>
          <w:szCs w:val="28"/>
          <w:lang w:eastAsia="es-CO"/>
          <w14:ligatures w14:val="none"/>
        </w:rPr>
      </w:pPr>
      <w:r w:rsidRPr="005541E4">
        <w:rPr>
          <w:rFonts w:ascii="Times New Roman" w:eastAsia="Times New Roman" w:hAnsi="Times New Roman" w:cs="Times New Roman"/>
          <w:b/>
          <w:bCs/>
          <w:kern w:val="36"/>
          <w:sz w:val="28"/>
          <w:szCs w:val="28"/>
          <w:lang w:eastAsia="es-CO"/>
          <w14:ligatures w14:val="none"/>
        </w:rPr>
        <w:t>11. Perspectivas de CAF hacia 2030: una visión estratégica</w:t>
      </w:r>
    </w:p>
    <w:p w14:paraId="36B5406F" w14:textId="77777777" w:rsidR="008E1DDB" w:rsidRPr="00F05A82"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FB1340">
        <w:rPr>
          <w:rFonts w:ascii="Times New Roman" w:eastAsia="Times New Roman" w:hAnsi="Times New Roman" w:cs="Times New Roman"/>
          <w:kern w:val="0"/>
          <w:sz w:val="24"/>
          <w:szCs w:val="24"/>
          <w:highlight w:val="yellow"/>
          <w:lang w:eastAsia="es-CO"/>
          <w14:ligatures w14:val="none"/>
        </w:rPr>
        <w:t>La evolución de las economías basadas en el conocimiento plantea nuevos desafíos para América Latina y el Caribe. En este escenario, CAF tiene la oportunidad de consolidarse como el principal banco de desarrollo regional en materia de educación, ciencia, tecnología e innovación, fortaleciendo su papel no solo como financiador, sino también como articulador de capacidades, generador de conocimiento y promotor de la integración regional.</w:t>
      </w:r>
    </w:p>
    <w:p w14:paraId="6275C467" w14:textId="77777777" w:rsidR="008E1DDB" w:rsidRPr="00F05A82"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531868">
        <w:rPr>
          <w:rFonts w:ascii="Times New Roman" w:eastAsia="Times New Roman" w:hAnsi="Times New Roman" w:cs="Times New Roman"/>
          <w:kern w:val="0"/>
          <w:sz w:val="24"/>
          <w:szCs w:val="24"/>
          <w:highlight w:val="yellow"/>
          <w:lang w:eastAsia="es-CO"/>
          <w14:ligatures w14:val="none"/>
        </w:rPr>
        <w:lastRenderedPageBreak/>
        <w:t>Uno de los principales retos hacia 2030 será responder a la acelerada transformación tecnológica derivada de la inteligencia artificial, la automatización, la computación cuántica, la biotecnología y la economía digital. Estas tendencias modificarán profundamente los sistemas educativos, los mercados laborales y los procesos de innovación.</w:t>
      </w:r>
    </w:p>
    <w:p w14:paraId="5AFC9AB4" w14:textId="77777777" w:rsidR="008E1DDB" w:rsidRPr="00F05A82"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kern w:val="0"/>
          <w:sz w:val="24"/>
          <w:szCs w:val="24"/>
          <w:lang w:eastAsia="es-CO"/>
          <w14:ligatures w14:val="none"/>
        </w:rPr>
        <w:t>En consecuencia, CAF podría orientar una parte creciente de sus inversiones hacia la formación de talento humano para la economía del conocimiento, promoviendo políticas públicas que fortalezcan las competencias digitales avanzadas, el pensamiento computacional, la ciencia de datos y el uso ético de la inteligencia artificial.</w:t>
      </w:r>
    </w:p>
    <w:p w14:paraId="27C7CBD3" w14:textId="77777777" w:rsidR="008E1DDB" w:rsidRPr="00F05A82"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531868">
        <w:rPr>
          <w:rFonts w:ascii="Times New Roman" w:eastAsia="Times New Roman" w:hAnsi="Times New Roman" w:cs="Times New Roman"/>
          <w:kern w:val="0"/>
          <w:sz w:val="24"/>
          <w:szCs w:val="24"/>
          <w:highlight w:val="yellow"/>
          <w:lang w:eastAsia="es-CO"/>
          <w14:ligatures w14:val="none"/>
        </w:rPr>
        <w:t xml:space="preserve">Asimismo, la institución puede desempeñar un papel decisivo en la consolidación de la </w:t>
      </w:r>
      <w:r w:rsidRPr="00531868">
        <w:rPr>
          <w:rFonts w:ascii="Times New Roman" w:eastAsia="Times New Roman" w:hAnsi="Times New Roman" w:cs="Times New Roman"/>
          <w:b/>
          <w:bCs/>
          <w:kern w:val="0"/>
          <w:sz w:val="24"/>
          <w:szCs w:val="24"/>
          <w:highlight w:val="yellow"/>
          <w:lang w:eastAsia="es-CO"/>
          <w14:ligatures w14:val="none"/>
        </w:rPr>
        <w:t>ciencia abierta</w:t>
      </w:r>
      <w:r w:rsidRPr="00531868">
        <w:rPr>
          <w:rFonts w:ascii="Times New Roman" w:eastAsia="Times New Roman" w:hAnsi="Times New Roman" w:cs="Times New Roman"/>
          <w:kern w:val="0"/>
          <w:sz w:val="24"/>
          <w:szCs w:val="24"/>
          <w:highlight w:val="yellow"/>
          <w:lang w:eastAsia="es-CO"/>
          <w14:ligatures w14:val="none"/>
        </w:rPr>
        <w:t>, favoreciendo el acceso libre al conocimiento científico, el intercambio de datos de investigación y la cooperación entre universidades, centros tecnológicos y gobiernos de la región. Esta estrategia contribuiría a reducir duplicidades, optimizar recursos y acelerar la generación de soluciones para problemas comunes.</w:t>
      </w:r>
    </w:p>
    <w:p w14:paraId="36E32EBA" w14:textId="77777777" w:rsidR="008E1DDB" w:rsidRPr="00916611" w:rsidRDefault="008E1DDB" w:rsidP="008E1DDB">
      <w:p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916611">
        <w:rPr>
          <w:rFonts w:ascii="Times New Roman" w:eastAsia="Times New Roman" w:hAnsi="Times New Roman" w:cs="Times New Roman"/>
          <w:kern w:val="0"/>
          <w:sz w:val="24"/>
          <w:szCs w:val="24"/>
          <w:highlight w:val="yellow"/>
          <w:lang w:eastAsia="es-CO"/>
          <w14:ligatures w14:val="none"/>
        </w:rPr>
        <w:t xml:space="preserve">Otro desafío relevante será fortalecer la </w:t>
      </w:r>
      <w:r w:rsidRPr="00916611">
        <w:rPr>
          <w:rFonts w:ascii="Times New Roman" w:eastAsia="Times New Roman" w:hAnsi="Times New Roman" w:cs="Times New Roman"/>
          <w:b/>
          <w:bCs/>
          <w:kern w:val="0"/>
          <w:sz w:val="24"/>
          <w:szCs w:val="24"/>
          <w:highlight w:val="yellow"/>
          <w:lang w:eastAsia="es-CO"/>
          <w14:ligatures w14:val="none"/>
        </w:rPr>
        <w:t>innovación orientada a las misiones de desarrollo</w:t>
      </w:r>
      <w:r w:rsidRPr="00916611">
        <w:rPr>
          <w:rFonts w:ascii="Times New Roman" w:eastAsia="Times New Roman" w:hAnsi="Times New Roman" w:cs="Times New Roman"/>
          <w:kern w:val="0"/>
          <w:sz w:val="24"/>
          <w:szCs w:val="24"/>
          <w:highlight w:val="yellow"/>
          <w:lang w:eastAsia="es-CO"/>
          <w14:ligatures w14:val="none"/>
        </w:rPr>
        <w:t>. Más allá de financiar proyectos aislados, CAF podría estructurar programas regionales dirigidos a enfrentar retos estratégicos compartidos, tales como la transición energética, la adaptación al cambio climático, la seguridad alimentaria, la transformación digital de las pequeñas y medianas empresas, la salud pública y la resiliencia urbana.</w:t>
      </w:r>
    </w:p>
    <w:p w14:paraId="44845D94" w14:textId="77777777" w:rsidR="008E1DDB" w:rsidRPr="00916611" w:rsidRDefault="008E1DDB" w:rsidP="008E1DDB">
      <w:p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916611">
        <w:rPr>
          <w:rFonts w:ascii="Times New Roman" w:eastAsia="Times New Roman" w:hAnsi="Times New Roman" w:cs="Times New Roman"/>
          <w:kern w:val="0"/>
          <w:sz w:val="24"/>
          <w:szCs w:val="24"/>
          <w:highlight w:val="yellow"/>
          <w:lang w:eastAsia="es-CO"/>
          <w14:ligatures w14:val="none"/>
        </w:rPr>
        <w:t xml:space="preserve">En el ámbito de la educación superior, será fundamental promover modelos de aprendizaje más flexibles e inclusivos. Las </w:t>
      </w:r>
      <w:proofErr w:type="spellStart"/>
      <w:r w:rsidRPr="00916611">
        <w:rPr>
          <w:rFonts w:ascii="Times New Roman" w:eastAsia="Times New Roman" w:hAnsi="Times New Roman" w:cs="Times New Roman"/>
          <w:kern w:val="0"/>
          <w:sz w:val="24"/>
          <w:szCs w:val="24"/>
          <w:highlight w:val="yellow"/>
          <w:lang w:eastAsia="es-CO"/>
          <w14:ligatures w14:val="none"/>
        </w:rPr>
        <w:t>microcredenciales</w:t>
      </w:r>
      <w:proofErr w:type="spellEnd"/>
      <w:r w:rsidRPr="00916611">
        <w:rPr>
          <w:rFonts w:ascii="Times New Roman" w:eastAsia="Times New Roman" w:hAnsi="Times New Roman" w:cs="Times New Roman"/>
          <w:kern w:val="0"/>
          <w:sz w:val="24"/>
          <w:szCs w:val="24"/>
          <w:highlight w:val="yellow"/>
          <w:lang w:eastAsia="es-CO"/>
          <w14:ligatures w14:val="none"/>
        </w:rPr>
        <w:t>, la educación continua, la formación híbrida y el reconocimiento de competencias adquiridas a lo largo de la vida se perfilan como instrumentos esenciales para responder a las necesidades cambiantes del mercado laboral. CAF podría apoyar el diseño de marcos regionales que faciliten el reconocimiento mutuo de estas credenciales y favorezcan la movilidad académica y profesional.</w:t>
      </w:r>
    </w:p>
    <w:p w14:paraId="2506BF99" w14:textId="77777777" w:rsidR="008E1DDB" w:rsidRPr="00916611" w:rsidRDefault="008E1DDB" w:rsidP="008E1DDB">
      <w:pPr>
        <w:spacing w:before="100" w:beforeAutospacing="1" w:after="100" w:afterAutospacing="1" w:line="240" w:lineRule="auto"/>
        <w:rPr>
          <w:rFonts w:ascii="Times New Roman" w:eastAsia="Times New Roman" w:hAnsi="Times New Roman" w:cs="Times New Roman"/>
          <w:kern w:val="0"/>
          <w:sz w:val="24"/>
          <w:szCs w:val="24"/>
          <w:highlight w:val="yellow"/>
          <w:lang w:eastAsia="es-CO"/>
          <w14:ligatures w14:val="none"/>
        </w:rPr>
      </w:pPr>
      <w:r w:rsidRPr="00916611">
        <w:rPr>
          <w:rFonts w:ascii="Times New Roman" w:eastAsia="Times New Roman" w:hAnsi="Times New Roman" w:cs="Times New Roman"/>
          <w:kern w:val="0"/>
          <w:sz w:val="24"/>
          <w:szCs w:val="24"/>
          <w:highlight w:val="yellow"/>
          <w:lang w:eastAsia="es-CO"/>
          <w14:ligatures w14:val="none"/>
        </w:rPr>
        <w:t>Desde la perspectiva de la gobernanza, la institución también enfrenta el desafío de fortalecer la evaluación basada en evidencia. La incorporación de sistemas regionales de monitoreo y evaluación permitirá medir con mayor precisión el impacto de las inversiones realizadas y orientar los recursos hacia las intervenciones con mayor capacidad transformadora.</w:t>
      </w:r>
    </w:p>
    <w:p w14:paraId="0EF11957" w14:textId="77777777" w:rsidR="008E1DDB" w:rsidRPr="00F05A82"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916611">
        <w:rPr>
          <w:rFonts w:ascii="Times New Roman" w:eastAsia="Times New Roman" w:hAnsi="Times New Roman" w:cs="Times New Roman"/>
          <w:kern w:val="0"/>
          <w:sz w:val="24"/>
          <w:szCs w:val="24"/>
          <w:highlight w:val="yellow"/>
          <w:lang w:eastAsia="es-CO"/>
          <w14:ligatures w14:val="none"/>
        </w:rPr>
        <w:t>Finalmente, la integración regional continuará siendo una condición indispensable para enfrentar los desafíos del siglo XXI. Ningún país de América Latina y el Caribe posee por sí solo la masa crítica suficiente para competir en igualdad de condiciones con las principales economías del conocimiento. En consecuencia, CAF está llamada a desempeñar un papel aún más activo como plataforma de articulación regional, facilitando alianzas estratégicas, financiamiento conjunto y cooperación técnica que fortalezcan las capacidades científicas, tecnológicas y educativas de todos sus países miembros.</w:t>
      </w:r>
    </w:p>
    <w:p w14:paraId="5265E064" w14:textId="77777777" w:rsidR="008E1DDB" w:rsidRPr="00FD20A2" w:rsidRDefault="008E1DDB" w:rsidP="008E1DDB">
      <w:pPr>
        <w:spacing w:before="100" w:beforeAutospacing="1" w:after="100" w:afterAutospacing="1" w:line="240" w:lineRule="auto"/>
        <w:outlineLvl w:val="0"/>
        <w:rPr>
          <w:rFonts w:ascii="Times New Roman" w:eastAsia="Times New Roman" w:hAnsi="Times New Roman" w:cs="Times New Roman"/>
          <w:b/>
          <w:bCs/>
          <w:kern w:val="36"/>
          <w:sz w:val="28"/>
          <w:szCs w:val="28"/>
          <w:lang w:eastAsia="es-CO"/>
          <w14:ligatures w14:val="none"/>
        </w:rPr>
      </w:pPr>
      <w:r w:rsidRPr="00FD20A2">
        <w:rPr>
          <w:rFonts w:ascii="Times New Roman" w:eastAsia="Times New Roman" w:hAnsi="Times New Roman" w:cs="Times New Roman"/>
          <w:b/>
          <w:bCs/>
          <w:kern w:val="36"/>
          <w:sz w:val="28"/>
          <w:szCs w:val="28"/>
          <w:lang w:eastAsia="es-CO"/>
          <w14:ligatures w14:val="none"/>
        </w:rPr>
        <w:t>Reflexión final</w:t>
      </w:r>
    </w:p>
    <w:p w14:paraId="295E489A" w14:textId="77777777" w:rsidR="008E1DDB" w:rsidRPr="00F05A82"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kern w:val="0"/>
          <w:sz w:val="24"/>
          <w:szCs w:val="24"/>
          <w:lang w:eastAsia="es-CO"/>
          <w14:ligatures w14:val="none"/>
        </w:rPr>
        <w:lastRenderedPageBreak/>
        <w:t xml:space="preserve">El análisis realizado permite concluir que </w:t>
      </w:r>
      <w:r w:rsidRPr="00F05A82">
        <w:rPr>
          <w:rFonts w:ascii="Times New Roman" w:eastAsia="Times New Roman" w:hAnsi="Times New Roman" w:cs="Times New Roman"/>
          <w:b/>
          <w:bCs/>
          <w:kern w:val="0"/>
          <w:sz w:val="24"/>
          <w:szCs w:val="24"/>
          <w:lang w:eastAsia="es-CO"/>
          <w14:ligatures w14:val="none"/>
        </w:rPr>
        <w:t>CAF atraviesa una etapa de madurez institucional caracterizada por una creciente orientación hacia el desarrollo basado en el conocimiento</w:t>
      </w:r>
      <w:r w:rsidRPr="00F05A82">
        <w:rPr>
          <w:rFonts w:ascii="Times New Roman" w:eastAsia="Times New Roman" w:hAnsi="Times New Roman" w:cs="Times New Roman"/>
          <w:kern w:val="0"/>
          <w:sz w:val="24"/>
          <w:szCs w:val="24"/>
          <w:lang w:eastAsia="es-CO"/>
          <w14:ligatures w14:val="none"/>
        </w:rPr>
        <w:t>. Esta transformación representa una oportunidad histórica para América Latina y el Caribe, en un contexto internacional marcado por profundas transiciones tecnológicas, ambientales y productivas.</w:t>
      </w:r>
    </w:p>
    <w:p w14:paraId="2114017B" w14:textId="77777777" w:rsidR="008E1DDB" w:rsidRPr="00F05A82"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F05A82">
        <w:rPr>
          <w:rFonts w:ascii="Times New Roman" w:eastAsia="Times New Roman" w:hAnsi="Times New Roman" w:cs="Times New Roman"/>
          <w:kern w:val="0"/>
          <w:sz w:val="24"/>
          <w:szCs w:val="24"/>
          <w:lang w:eastAsia="es-CO"/>
          <w14:ligatures w14:val="none"/>
        </w:rPr>
        <w:t>Sin embargo, el verdadero éxito de esta estrategia dependerá de la capacidad de la institución para convertir sus importantes recursos financieros y técnicos en resultados verificables sobre la calidad educativa, la producción científica, la innovación empresarial y el bienestar de la población.</w:t>
      </w:r>
    </w:p>
    <w:p w14:paraId="178994BE" w14:textId="77777777" w:rsidR="008E1DDB" w:rsidRPr="00F05A82"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B96315">
        <w:rPr>
          <w:rFonts w:ascii="Times New Roman" w:eastAsia="Times New Roman" w:hAnsi="Times New Roman" w:cs="Times New Roman"/>
          <w:kern w:val="0"/>
          <w:sz w:val="24"/>
          <w:szCs w:val="24"/>
          <w:highlight w:val="yellow"/>
          <w:lang w:eastAsia="es-CO"/>
          <w14:ligatures w14:val="none"/>
        </w:rPr>
        <w:t xml:space="preserve">En este sentido, </w:t>
      </w:r>
      <w:r w:rsidRPr="00B96315">
        <w:rPr>
          <w:rFonts w:ascii="Times New Roman" w:eastAsia="Times New Roman" w:hAnsi="Times New Roman" w:cs="Times New Roman"/>
          <w:b/>
          <w:bCs/>
          <w:kern w:val="0"/>
          <w:sz w:val="24"/>
          <w:szCs w:val="24"/>
          <w:highlight w:val="yellow"/>
          <w:lang w:eastAsia="es-CO"/>
          <w14:ligatures w14:val="none"/>
        </w:rPr>
        <w:t>el desafío de CAF ya no consiste únicamente en financiar el desarrollo, sino en liderar la construcción de un ecosistema regional de conocimiento que permita a América Latina y el Caribe competir en una economía global basada cada vez más en la innovación, la sostenibilidad y el talento humano.</w:t>
      </w:r>
    </w:p>
    <w:p w14:paraId="141BF453" w14:textId="77777777" w:rsidR="008E1DDB" w:rsidRPr="00037FA5" w:rsidRDefault="008E1DDB" w:rsidP="008E1DDB">
      <w:pPr>
        <w:spacing w:before="100" w:beforeAutospacing="1" w:after="100" w:afterAutospacing="1" w:line="240" w:lineRule="auto"/>
        <w:outlineLvl w:val="0"/>
        <w:rPr>
          <w:rFonts w:ascii="Times New Roman" w:eastAsia="Times New Roman" w:hAnsi="Times New Roman" w:cs="Times New Roman"/>
          <w:b/>
          <w:bCs/>
          <w:kern w:val="36"/>
          <w:sz w:val="28"/>
          <w:szCs w:val="28"/>
          <w:lang w:eastAsia="es-CO"/>
          <w14:ligatures w14:val="none"/>
        </w:rPr>
      </w:pPr>
      <w:r w:rsidRPr="00037FA5">
        <w:rPr>
          <w:rFonts w:ascii="Times New Roman" w:eastAsia="Times New Roman" w:hAnsi="Times New Roman" w:cs="Times New Roman"/>
          <w:b/>
          <w:bCs/>
          <w:kern w:val="36"/>
          <w:sz w:val="28"/>
          <w:szCs w:val="28"/>
          <w:lang w:eastAsia="es-CO"/>
          <w14:ligatures w14:val="none"/>
        </w:rPr>
        <w:t>Figura 1. Evolución estratégica de CAF (2021–2026)</w:t>
      </w:r>
    </w:p>
    <w:p w14:paraId="0F78C994" w14:textId="77777777" w:rsidR="008E1DDB" w:rsidRPr="00FB2783"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b/>
          <w:bCs/>
          <w:kern w:val="0"/>
          <w:sz w:val="24"/>
          <w:szCs w:val="24"/>
          <w:lang w:eastAsia="es-CO"/>
          <w14:ligatures w14:val="none"/>
        </w:rPr>
        <w:t>Ubicación:</w:t>
      </w:r>
      <w:r w:rsidRPr="00FB2783">
        <w:rPr>
          <w:rFonts w:ascii="Times New Roman" w:eastAsia="Times New Roman" w:hAnsi="Times New Roman" w:cs="Times New Roman"/>
          <w:kern w:val="0"/>
          <w:sz w:val="24"/>
          <w:szCs w:val="24"/>
          <w:lang w:eastAsia="es-CO"/>
          <w14:ligatures w14:val="none"/>
        </w:rPr>
        <w:t xml:space="preserve"> después del apartado </w:t>
      </w:r>
      <w:r w:rsidRPr="00FB2783">
        <w:rPr>
          <w:rFonts w:ascii="Times New Roman" w:eastAsia="Times New Roman" w:hAnsi="Times New Roman" w:cs="Times New Roman"/>
          <w:i/>
          <w:iCs/>
          <w:kern w:val="0"/>
          <w:sz w:val="24"/>
          <w:szCs w:val="24"/>
          <w:lang w:eastAsia="es-CO"/>
          <w14:ligatures w14:val="none"/>
        </w:rPr>
        <w:t>Contexto institucional</w:t>
      </w:r>
      <w:r w:rsidRPr="00FB2783">
        <w:rPr>
          <w:rFonts w:ascii="Times New Roman" w:eastAsia="Times New Roman" w:hAnsi="Times New Roman" w:cs="Times New Roman"/>
          <w:kern w:val="0"/>
          <w:sz w:val="24"/>
          <w:szCs w:val="24"/>
          <w:lang w:eastAsia="es-CO"/>
          <w14:ligatures w14:val="none"/>
        </w:rPr>
        <w:t>.</w:t>
      </w:r>
    </w:p>
    <w:p w14:paraId="27D9F9CD"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EVOLUCIÓN DE LA ESTRATEGIA DE CAF</w:t>
      </w:r>
    </w:p>
    <w:p w14:paraId="7050E870"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p>
    <w:p w14:paraId="6AF20F04"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2021                  2022                2023              2024-2026</w:t>
      </w:r>
    </w:p>
    <w:p w14:paraId="6336EFE2"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p>
    <w:p w14:paraId="4D9D8C70"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Respuesta        </w:t>
      </w:r>
      <w:proofErr w:type="gramStart"/>
      <w:r w:rsidRPr="00FB2783">
        <w:rPr>
          <w:rFonts w:ascii="Courier New" w:eastAsia="Times New Roman" w:hAnsi="Courier New" w:cs="Courier New"/>
          <w:kern w:val="0"/>
          <w:sz w:val="20"/>
          <w:szCs w:val="20"/>
          <w:lang w:eastAsia="es-CO"/>
          <w14:ligatures w14:val="none"/>
        </w:rPr>
        <w:t>→  Transformación</w:t>
      </w:r>
      <w:proofErr w:type="gramEnd"/>
      <w:r w:rsidRPr="00FB2783">
        <w:rPr>
          <w:rFonts w:ascii="Courier New" w:eastAsia="Times New Roman" w:hAnsi="Courier New" w:cs="Courier New"/>
          <w:kern w:val="0"/>
          <w:sz w:val="20"/>
          <w:szCs w:val="20"/>
          <w:lang w:eastAsia="es-CO"/>
          <w14:ligatures w14:val="none"/>
        </w:rPr>
        <w:t xml:space="preserve">   </w:t>
      </w:r>
      <w:proofErr w:type="gramStart"/>
      <w:r w:rsidRPr="00FB2783">
        <w:rPr>
          <w:rFonts w:ascii="Courier New" w:eastAsia="Times New Roman" w:hAnsi="Courier New" w:cs="Courier New"/>
          <w:kern w:val="0"/>
          <w:sz w:val="20"/>
          <w:szCs w:val="20"/>
          <w:lang w:eastAsia="es-CO"/>
          <w14:ligatures w14:val="none"/>
        </w:rPr>
        <w:t>→  Innovación</w:t>
      </w:r>
      <w:proofErr w:type="gramEnd"/>
      <w:r w:rsidRPr="00FB2783">
        <w:rPr>
          <w:rFonts w:ascii="Courier New" w:eastAsia="Times New Roman" w:hAnsi="Courier New" w:cs="Courier New"/>
          <w:kern w:val="0"/>
          <w:sz w:val="20"/>
          <w:szCs w:val="20"/>
          <w:lang w:eastAsia="es-CO"/>
          <w14:ligatures w14:val="none"/>
        </w:rPr>
        <w:t xml:space="preserve">   → Desarrollo</w:t>
      </w:r>
    </w:p>
    <w:p w14:paraId="30218EA3"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a la pandemia       digital             institucional    sostenible</w:t>
      </w:r>
    </w:p>
    <w:p w14:paraId="1269D6EA"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w:t>
      </w:r>
    </w:p>
    <w:p w14:paraId="01667E5E"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w:t>
      </w:r>
    </w:p>
    <w:p w14:paraId="540A87D5"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Educación – Ciencia – Tecnología</w:t>
      </w:r>
    </w:p>
    <w:p w14:paraId="3309CC40"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Innovación – Integración Regional</w:t>
      </w:r>
    </w:p>
    <w:p w14:paraId="19ED7856" w14:textId="77777777" w:rsidR="008E1DDB" w:rsidRPr="00FB2783"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b/>
          <w:bCs/>
          <w:kern w:val="0"/>
          <w:sz w:val="24"/>
          <w:szCs w:val="24"/>
          <w:lang w:eastAsia="es-CO"/>
          <w14:ligatures w14:val="none"/>
        </w:rPr>
        <w:t>Comentario en el documento</w:t>
      </w:r>
    </w:p>
    <w:p w14:paraId="462E40DA" w14:textId="77777777" w:rsidR="008E1DDB" w:rsidRPr="00FB2783"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i/>
          <w:iCs/>
          <w:kern w:val="0"/>
          <w:sz w:val="24"/>
          <w:szCs w:val="24"/>
          <w:lang w:eastAsia="es-CO"/>
          <w14:ligatures w14:val="none"/>
        </w:rPr>
        <w:t>La evolución institucional evidencia una transición desde una respuesta a la emergencia sanitaria hacia una estrategia de desarrollo basada en el fortalecimiento del capital humano, la transformación digital y la innovación como motores de crecimiento sostenible.</w:t>
      </w:r>
    </w:p>
    <w:p w14:paraId="777ABB37" w14:textId="77777777" w:rsidR="008E1DDB" w:rsidRPr="009D4F9D" w:rsidRDefault="008E1DDB" w:rsidP="008E1DDB">
      <w:pPr>
        <w:spacing w:before="100" w:beforeAutospacing="1" w:after="100" w:afterAutospacing="1" w:line="240" w:lineRule="auto"/>
        <w:outlineLvl w:val="0"/>
        <w:rPr>
          <w:rFonts w:ascii="Times New Roman" w:eastAsia="Times New Roman" w:hAnsi="Times New Roman" w:cs="Times New Roman"/>
          <w:b/>
          <w:bCs/>
          <w:kern w:val="36"/>
          <w:sz w:val="28"/>
          <w:szCs w:val="28"/>
          <w:lang w:eastAsia="es-CO"/>
          <w14:ligatures w14:val="none"/>
        </w:rPr>
      </w:pPr>
      <w:r w:rsidRPr="009D4F9D">
        <w:rPr>
          <w:rFonts w:ascii="Times New Roman" w:eastAsia="Times New Roman" w:hAnsi="Times New Roman" w:cs="Times New Roman"/>
          <w:b/>
          <w:bCs/>
          <w:kern w:val="36"/>
          <w:sz w:val="28"/>
          <w:szCs w:val="28"/>
          <w:lang w:eastAsia="es-CO"/>
          <w14:ligatures w14:val="none"/>
        </w:rPr>
        <w:t>Figura 2. Modelo de intervención de CAF</w:t>
      </w:r>
    </w:p>
    <w:p w14:paraId="3A6D2CE2" w14:textId="77777777" w:rsidR="008E1DDB" w:rsidRPr="00FB2783"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b/>
          <w:bCs/>
          <w:kern w:val="0"/>
          <w:sz w:val="24"/>
          <w:szCs w:val="24"/>
          <w:lang w:eastAsia="es-CO"/>
          <w14:ligatures w14:val="none"/>
        </w:rPr>
        <w:t>Ubicación:</w:t>
      </w:r>
      <w:r w:rsidRPr="00FB2783">
        <w:rPr>
          <w:rFonts w:ascii="Times New Roman" w:eastAsia="Times New Roman" w:hAnsi="Times New Roman" w:cs="Times New Roman"/>
          <w:kern w:val="0"/>
          <w:sz w:val="24"/>
          <w:szCs w:val="24"/>
          <w:lang w:eastAsia="es-CO"/>
          <w14:ligatures w14:val="none"/>
        </w:rPr>
        <w:t xml:space="preserve"> antes del análisis de Educación.</w:t>
      </w:r>
    </w:p>
    <w:p w14:paraId="095FB658"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MODELO DE INTERVENCIÓN DE CAF</w:t>
      </w:r>
    </w:p>
    <w:p w14:paraId="37E2F216"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p>
    <w:p w14:paraId="186DFE9A"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Financiamiento</w:t>
      </w:r>
    </w:p>
    <w:p w14:paraId="4ECD0DCC"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w:t>
      </w:r>
    </w:p>
    <w:p w14:paraId="2B971943"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w:t>
      </w:r>
    </w:p>
    <w:p w14:paraId="5EB0E41F"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Cooperación Técnica</w:t>
      </w:r>
    </w:p>
    <w:p w14:paraId="432C6FB9"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w:t>
      </w:r>
    </w:p>
    <w:p w14:paraId="1AC6ECB8"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w:t>
      </w:r>
    </w:p>
    <w:p w14:paraId="5C740085"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Generación de Conocimiento</w:t>
      </w:r>
    </w:p>
    <w:p w14:paraId="6944D890"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lastRenderedPageBreak/>
        <w:t xml:space="preserve">                       │</w:t>
      </w:r>
    </w:p>
    <w:p w14:paraId="1134FBE2"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w:t>
      </w:r>
    </w:p>
    <w:p w14:paraId="38AFD256"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Fortalecimiento Institucional</w:t>
      </w:r>
    </w:p>
    <w:p w14:paraId="4C2500C9"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w:t>
      </w:r>
    </w:p>
    <w:p w14:paraId="429C0D2A"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w:t>
      </w:r>
    </w:p>
    <w:p w14:paraId="77B1DE8B"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Desarrollo Sostenible Regional</w:t>
      </w:r>
    </w:p>
    <w:p w14:paraId="7DB375F9" w14:textId="77777777" w:rsidR="008E1DDB" w:rsidRPr="00FB2783"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b/>
          <w:bCs/>
          <w:kern w:val="0"/>
          <w:sz w:val="24"/>
          <w:szCs w:val="24"/>
          <w:lang w:eastAsia="es-CO"/>
          <w14:ligatures w14:val="none"/>
        </w:rPr>
        <w:t>Análisis</w:t>
      </w:r>
    </w:p>
    <w:p w14:paraId="68C1DED8" w14:textId="77777777" w:rsidR="008E1DDB" w:rsidRPr="00FB2783"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Esta figura muestra que CAF no funciona únicamente como banco de crédito, sino como una institución que integra financiamiento, asistencia técnica y producción de conocimiento.</w:t>
      </w:r>
    </w:p>
    <w:p w14:paraId="708EFB61" w14:textId="77777777" w:rsidR="008E1DDB" w:rsidRPr="009D4F9D" w:rsidRDefault="008E1DDB" w:rsidP="008E1DDB">
      <w:pPr>
        <w:spacing w:before="100" w:beforeAutospacing="1" w:after="100" w:afterAutospacing="1" w:line="240" w:lineRule="auto"/>
        <w:outlineLvl w:val="0"/>
        <w:rPr>
          <w:rFonts w:ascii="Times New Roman" w:eastAsia="Times New Roman" w:hAnsi="Times New Roman" w:cs="Times New Roman"/>
          <w:b/>
          <w:bCs/>
          <w:kern w:val="36"/>
          <w:sz w:val="28"/>
          <w:szCs w:val="28"/>
          <w:lang w:eastAsia="es-CO"/>
          <w14:ligatures w14:val="none"/>
        </w:rPr>
      </w:pPr>
      <w:r w:rsidRPr="009D4F9D">
        <w:rPr>
          <w:rFonts w:ascii="Times New Roman" w:eastAsia="Times New Roman" w:hAnsi="Times New Roman" w:cs="Times New Roman"/>
          <w:b/>
          <w:bCs/>
          <w:kern w:val="36"/>
          <w:sz w:val="28"/>
          <w:szCs w:val="28"/>
          <w:lang w:eastAsia="es-CO"/>
          <w14:ligatures w14:val="none"/>
        </w:rPr>
        <w:t>Figura 3. Modelo de Triple Hélice promovido por CAF</w:t>
      </w:r>
    </w:p>
    <w:p w14:paraId="384E9C32" w14:textId="77777777" w:rsidR="008E1DDB" w:rsidRPr="00FB2783"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b/>
          <w:bCs/>
          <w:kern w:val="0"/>
          <w:sz w:val="24"/>
          <w:szCs w:val="24"/>
          <w:lang w:eastAsia="es-CO"/>
          <w14:ligatures w14:val="none"/>
        </w:rPr>
        <w:t>Ubicación:</w:t>
      </w:r>
      <w:r w:rsidRPr="00FB2783">
        <w:rPr>
          <w:rFonts w:ascii="Times New Roman" w:eastAsia="Times New Roman" w:hAnsi="Times New Roman" w:cs="Times New Roman"/>
          <w:kern w:val="0"/>
          <w:sz w:val="24"/>
          <w:szCs w:val="24"/>
          <w:lang w:eastAsia="es-CO"/>
          <w14:ligatures w14:val="none"/>
        </w:rPr>
        <w:t xml:space="preserve"> capítulo de Educación Superior y CTI.</w:t>
      </w:r>
    </w:p>
    <w:p w14:paraId="3ACAE9A1"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UNIVERSIDADES</w:t>
      </w:r>
    </w:p>
    <w:p w14:paraId="15719990"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w:t>
      </w:r>
    </w:p>
    <w:p w14:paraId="421CD525"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   \</w:t>
      </w:r>
    </w:p>
    <w:p w14:paraId="6729D03E"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       \</w:t>
      </w:r>
    </w:p>
    <w:p w14:paraId="4A26D8A1"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         \</w:t>
      </w:r>
    </w:p>
    <w:p w14:paraId="4F5166DD"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GOBIERNO -------- EMPRESAS</w:t>
      </w:r>
    </w:p>
    <w:p w14:paraId="00E405FA"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p>
    <w:p w14:paraId="46C60B8E"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Innovación • Investigación</w:t>
      </w:r>
    </w:p>
    <w:p w14:paraId="36B62838"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Desarrollo Productivo • Empleo</w:t>
      </w:r>
    </w:p>
    <w:p w14:paraId="0531C54A" w14:textId="77777777" w:rsidR="008E1DDB" w:rsidRPr="00FB2783"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b/>
          <w:bCs/>
          <w:kern w:val="0"/>
          <w:sz w:val="24"/>
          <w:szCs w:val="24"/>
          <w:lang w:eastAsia="es-CO"/>
          <w14:ligatures w14:val="none"/>
        </w:rPr>
        <w:t>Comentario</w:t>
      </w:r>
    </w:p>
    <w:p w14:paraId="616A4C4C" w14:textId="77777777" w:rsidR="008E1DDB" w:rsidRPr="00FB2783"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Aunque CAF promueve este modelo de articulación, el análisis crítico evidencia que aún existen oportunidades para fortalecer la transferencia tecnológica y la innovación empresarial derivada de la investigación universitaria.</w:t>
      </w:r>
    </w:p>
    <w:p w14:paraId="45FDE417" w14:textId="77777777" w:rsidR="008E1DDB" w:rsidRPr="009D4F9D" w:rsidRDefault="008E1DDB" w:rsidP="008E1DDB">
      <w:pPr>
        <w:spacing w:before="100" w:beforeAutospacing="1" w:after="100" w:afterAutospacing="1" w:line="240" w:lineRule="auto"/>
        <w:outlineLvl w:val="0"/>
        <w:rPr>
          <w:rFonts w:ascii="Times New Roman" w:eastAsia="Times New Roman" w:hAnsi="Times New Roman" w:cs="Times New Roman"/>
          <w:b/>
          <w:bCs/>
          <w:kern w:val="36"/>
          <w:sz w:val="28"/>
          <w:szCs w:val="28"/>
          <w:lang w:eastAsia="es-CO"/>
          <w14:ligatures w14:val="none"/>
        </w:rPr>
      </w:pPr>
      <w:r w:rsidRPr="009D4F9D">
        <w:rPr>
          <w:rFonts w:ascii="Times New Roman" w:eastAsia="Times New Roman" w:hAnsi="Times New Roman" w:cs="Times New Roman"/>
          <w:b/>
          <w:bCs/>
          <w:kern w:val="36"/>
          <w:sz w:val="28"/>
          <w:szCs w:val="28"/>
          <w:lang w:eastAsia="es-CO"/>
          <w14:ligatures w14:val="none"/>
        </w:rPr>
        <w:t>Figura 4. Principales fortalezas y desafíos</w:t>
      </w:r>
    </w:p>
    <w:p w14:paraId="38241016" w14:textId="77777777" w:rsidR="008E1DDB" w:rsidRPr="00FB2783"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b/>
          <w:bCs/>
          <w:kern w:val="0"/>
          <w:sz w:val="24"/>
          <w:szCs w:val="24"/>
          <w:lang w:eastAsia="es-CO"/>
          <w14:ligatures w14:val="none"/>
        </w:rPr>
        <w:t>Ubicación:</w:t>
      </w:r>
      <w:r w:rsidRPr="00FB2783">
        <w:rPr>
          <w:rFonts w:ascii="Times New Roman" w:eastAsia="Times New Roman" w:hAnsi="Times New Roman" w:cs="Times New Roman"/>
          <w:kern w:val="0"/>
          <w:sz w:val="24"/>
          <w:szCs w:val="24"/>
          <w:lang w:eastAsia="es-CO"/>
          <w14:ligatures w14:val="none"/>
        </w:rPr>
        <w:t xml:space="preserve"> antes de las recomendaciones.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21"/>
        <w:gridCol w:w="2561"/>
      </w:tblGrid>
      <w:tr w:rsidR="008E1DDB" w:rsidRPr="00FB2783" w14:paraId="442790FB" w14:textId="77777777" w:rsidTr="0067332C">
        <w:trPr>
          <w:tblHeader/>
          <w:tblCellSpacing w:w="15" w:type="dxa"/>
        </w:trPr>
        <w:tc>
          <w:tcPr>
            <w:tcW w:w="0" w:type="auto"/>
            <w:vAlign w:val="center"/>
            <w:hideMark/>
          </w:tcPr>
          <w:p w14:paraId="5A89EBA4" w14:textId="77777777" w:rsidR="008E1DDB" w:rsidRPr="00FB2783" w:rsidRDefault="008E1DDB" w:rsidP="0067332C">
            <w:pPr>
              <w:spacing w:after="0" w:line="240" w:lineRule="auto"/>
              <w:jc w:val="center"/>
              <w:rPr>
                <w:rFonts w:ascii="Times New Roman" w:eastAsia="Times New Roman" w:hAnsi="Times New Roman" w:cs="Times New Roman"/>
                <w:b/>
                <w:bCs/>
                <w:kern w:val="0"/>
                <w:sz w:val="24"/>
                <w:szCs w:val="24"/>
                <w:lang w:eastAsia="es-CO"/>
                <w14:ligatures w14:val="none"/>
              </w:rPr>
            </w:pPr>
            <w:r w:rsidRPr="00FB2783">
              <w:rPr>
                <w:rFonts w:ascii="Times New Roman" w:eastAsia="Times New Roman" w:hAnsi="Times New Roman" w:cs="Times New Roman"/>
                <w:b/>
                <w:bCs/>
                <w:kern w:val="0"/>
                <w:sz w:val="24"/>
                <w:szCs w:val="24"/>
                <w:lang w:eastAsia="es-CO"/>
                <w14:ligatures w14:val="none"/>
              </w:rPr>
              <w:t>Fortalezas</w:t>
            </w:r>
          </w:p>
        </w:tc>
        <w:tc>
          <w:tcPr>
            <w:tcW w:w="0" w:type="auto"/>
            <w:vAlign w:val="center"/>
            <w:hideMark/>
          </w:tcPr>
          <w:p w14:paraId="7821CFA3" w14:textId="77777777" w:rsidR="008E1DDB" w:rsidRPr="00FB2783" w:rsidRDefault="008E1DDB" w:rsidP="0067332C">
            <w:pPr>
              <w:spacing w:after="0" w:line="240" w:lineRule="auto"/>
              <w:jc w:val="center"/>
              <w:rPr>
                <w:rFonts w:ascii="Times New Roman" w:eastAsia="Times New Roman" w:hAnsi="Times New Roman" w:cs="Times New Roman"/>
                <w:b/>
                <w:bCs/>
                <w:kern w:val="0"/>
                <w:sz w:val="24"/>
                <w:szCs w:val="24"/>
                <w:lang w:eastAsia="es-CO"/>
                <w14:ligatures w14:val="none"/>
              </w:rPr>
            </w:pPr>
            <w:r w:rsidRPr="00FB2783">
              <w:rPr>
                <w:rFonts w:ascii="Times New Roman" w:eastAsia="Times New Roman" w:hAnsi="Times New Roman" w:cs="Times New Roman"/>
                <w:b/>
                <w:bCs/>
                <w:kern w:val="0"/>
                <w:sz w:val="24"/>
                <w:szCs w:val="24"/>
                <w:lang w:eastAsia="es-CO"/>
                <w14:ligatures w14:val="none"/>
              </w:rPr>
              <w:t>Desafíos</w:t>
            </w:r>
          </w:p>
        </w:tc>
      </w:tr>
      <w:tr w:rsidR="008E1DDB" w:rsidRPr="00FB2783" w14:paraId="2355D5D0" w14:textId="77777777" w:rsidTr="0067332C">
        <w:trPr>
          <w:tblCellSpacing w:w="15" w:type="dxa"/>
        </w:trPr>
        <w:tc>
          <w:tcPr>
            <w:tcW w:w="0" w:type="auto"/>
            <w:vAlign w:val="center"/>
            <w:hideMark/>
          </w:tcPr>
          <w:p w14:paraId="3CF1D542"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Financiamiento sólido</w:t>
            </w:r>
          </w:p>
        </w:tc>
        <w:tc>
          <w:tcPr>
            <w:tcW w:w="0" w:type="auto"/>
            <w:vAlign w:val="center"/>
            <w:hideMark/>
          </w:tcPr>
          <w:p w14:paraId="248F2A48"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Medición del impacto</w:t>
            </w:r>
          </w:p>
        </w:tc>
      </w:tr>
      <w:tr w:rsidR="008E1DDB" w:rsidRPr="00FB2783" w14:paraId="5F5345C8" w14:textId="77777777" w:rsidTr="0067332C">
        <w:trPr>
          <w:tblCellSpacing w:w="15" w:type="dxa"/>
        </w:trPr>
        <w:tc>
          <w:tcPr>
            <w:tcW w:w="0" w:type="auto"/>
            <w:vAlign w:val="center"/>
            <w:hideMark/>
          </w:tcPr>
          <w:p w14:paraId="2EF8553F"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Producción de conocimiento</w:t>
            </w:r>
          </w:p>
        </w:tc>
        <w:tc>
          <w:tcPr>
            <w:tcW w:w="0" w:type="auto"/>
            <w:vAlign w:val="center"/>
            <w:hideMark/>
          </w:tcPr>
          <w:p w14:paraId="07EB0CB6"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Brechas territoriales</w:t>
            </w:r>
          </w:p>
        </w:tc>
      </w:tr>
      <w:tr w:rsidR="008E1DDB" w:rsidRPr="00FB2783" w14:paraId="420E8CC9" w14:textId="77777777" w:rsidTr="0067332C">
        <w:trPr>
          <w:tblCellSpacing w:w="15" w:type="dxa"/>
        </w:trPr>
        <w:tc>
          <w:tcPr>
            <w:tcW w:w="0" w:type="auto"/>
            <w:vAlign w:val="center"/>
            <w:hideMark/>
          </w:tcPr>
          <w:p w14:paraId="18A8F52E"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Cooperación regional</w:t>
            </w:r>
          </w:p>
        </w:tc>
        <w:tc>
          <w:tcPr>
            <w:tcW w:w="0" w:type="auto"/>
            <w:vAlign w:val="center"/>
            <w:hideMark/>
          </w:tcPr>
          <w:p w14:paraId="24D2B24A"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Investigación aplicada</w:t>
            </w:r>
          </w:p>
        </w:tc>
      </w:tr>
      <w:tr w:rsidR="008E1DDB" w:rsidRPr="00FB2783" w14:paraId="565F837F" w14:textId="77777777" w:rsidTr="0067332C">
        <w:trPr>
          <w:tblCellSpacing w:w="15" w:type="dxa"/>
        </w:trPr>
        <w:tc>
          <w:tcPr>
            <w:tcW w:w="0" w:type="auto"/>
            <w:vAlign w:val="center"/>
            <w:hideMark/>
          </w:tcPr>
          <w:p w14:paraId="433BD4EF"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Transformación digital</w:t>
            </w:r>
          </w:p>
        </w:tc>
        <w:tc>
          <w:tcPr>
            <w:tcW w:w="0" w:type="auto"/>
            <w:vAlign w:val="center"/>
            <w:hideMark/>
          </w:tcPr>
          <w:p w14:paraId="6964AD76"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Transferencia tecnológica</w:t>
            </w:r>
          </w:p>
        </w:tc>
      </w:tr>
      <w:tr w:rsidR="008E1DDB" w:rsidRPr="00FB2783" w14:paraId="5DFFD795" w14:textId="77777777" w:rsidTr="0067332C">
        <w:trPr>
          <w:tblCellSpacing w:w="15" w:type="dxa"/>
        </w:trPr>
        <w:tc>
          <w:tcPr>
            <w:tcW w:w="0" w:type="auto"/>
            <w:vAlign w:val="center"/>
            <w:hideMark/>
          </w:tcPr>
          <w:p w14:paraId="2944941A"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Asistencia técnica</w:t>
            </w:r>
          </w:p>
        </w:tc>
        <w:tc>
          <w:tcPr>
            <w:tcW w:w="0" w:type="auto"/>
            <w:vAlign w:val="center"/>
            <w:hideMark/>
          </w:tcPr>
          <w:p w14:paraId="46F271AD"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Evaluación longitudinal</w:t>
            </w:r>
          </w:p>
        </w:tc>
      </w:tr>
    </w:tbl>
    <w:p w14:paraId="3AFE51E3" w14:textId="77777777" w:rsidR="008E1DDB" w:rsidRPr="00FB2783"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b/>
          <w:bCs/>
          <w:kern w:val="0"/>
          <w:sz w:val="24"/>
          <w:szCs w:val="24"/>
          <w:lang w:eastAsia="es-CO"/>
          <w14:ligatures w14:val="none"/>
        </w:rPr>
        <w:t>Comentario</w:t>
      </w:r>
    </w:p>
    <w:p w14:paraId="49983460" w14:textId="77777777" w:rsidR="008E1DDB" w:rsidRPr="00FB2783"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lastRenderedPageBreak/>
        <w:t>La evolución institucional de CAF ha fortalecido significativamente su capacidad de apoyo a los países; sin embargo, la consolidación de resultados dependerá de mejorar la evaluación del impacto y la articulación entre educación, ciencia e innovación.</w:t>
      </w:r>
    </w:p>
    <w:p w14:paraId="6F1E2894" w14:textId="77777777" w:rsidR="008E1DDB" w:rsidRPr="00C97843" w:rsidRDefault="008E1DDB" w:rsidP="008E1DDB">
      <w:pPr>
        <w:spacing w:before="100" w:beforeAutospacing="1" w:after="100" w:afterAutospacing="1" w:line="240" w:lineRule="auto"/>
        <w:outlineLvl w:val="0"/>
        <w:rPr>
          <w:rFonts w:ascii="Times New Roman" w:eastAsia="Times New Roman" w:hAnsi="Times New Roman" w:cs="Times New Roman"/>
          <w:b/>
          <w:bCs/>
          <w:kern w:val="36"/>
          <w:sz w:val="28"/>
          <w:szCs w:val="28"/>
          <w:lang w:eastAsia="es-CO"/>
          <w14:ligatures w14:val="none"/>
        </w:rPr>
      </w:pPr>
      <w:r w:rsidRPr="00C97843">
        <w:rPr>
          <w:rFonts w:ascii="Times New Roman" w:eastAsia="Times New Roman" w:hAnsi="Times New Roman" w:cs="Times New Roman"/>
          <w:b/>
          <w:bCs/>
          <w:kern w:val="36"/>
          <w:sz w:val="28"/>
          <w:szCs w:val="28"/>
          <w:lang w:eastAsia="es-CO"/>
          <w14:ligatures w14:val="none"/>
        </w:rPr>
        <w:t>Figura 5. Visión prospectiva CAF 2030</w:t>
      </w:r>
    </w:p>
    <w:p w14:paraId="7307B092" w14:textId="77777777" w:rsidR="008E1DDB" w:rsidRPr="00FB2783"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b/>
          <w:bCs/>
          <w:kern w:val="0"/>
          <w:sz w:val="24"/>
          <w:szCs w:val="24"/>
          <w:lang w:eastAsia="es-CO"/>
          <w14:ligatures w14:val="none"/>
        </w:rPr>
        <w:t>Ubicación:</w:t>
      </w:r>
      <w:r w:rsidRPr="00FB2783">
        <w:rPr>
          <w:rFonts w:ascii="Times New Roman" w:eastAsia="Times New Roman" w:hAnsi="Times New Roman" w:cs="Times New Roman"/>
          <w:kern w:val="0"/>
          <w:sz w:val="24"/>
          <w:szCs w:val="24"/>
          <w:lang w:eastAsia="es-CO"/>
          <w14:ligatures w14:val="none"/>
        </w:rPr>
        <w:t xml:space="preserve"> último capítulo.</w:t>
      </w:r>
    </w:p>
    <w:p w14:paraId="090DC628"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CAF HACIA 2030</w:t>
      </w:r>
    </w:p>
    <w:p w14:paraId="70779C68"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p>
    <w:p w14:paraId="37B8449B"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Educación de Calidad</w:t>
      </w:r>
    </w:p>
    <w:p w14:paraId="332CCDD8"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w:t>
      </w:r>
    </w:p>
    <w:p w14:paraId="58E1A1A6"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w:t>
      </w:r>
    </w:p>
    <w:p w14:paraId="63033066"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Educación Superior Flexible</w:t>
      </w:r>
    </w:p>
    <w:p w14:paraId="0C64A3C2"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w:t>
      </w:r>
    </w:p>
    <w:p w14:paraId="0BEAEFC5"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w:t>
      </w:r>
    </w:p>
    <w:p w14:paraId="4EFD0513"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Ciencia Abierta Regional</w:t>
      </w:r>
    </w:p>
    <w:p w14:paraId="5BB87FB2"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w:t>
      </w:r>
    </w:p>
    <w:p w14:paraId="5007A8AE"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w:t>
      </w:r>
    </w:p>
    <w:p w14:paraId="50DEECF5"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Inteligencia Artificial responsable</w:t>
      </w:r>
    </w:p>
    <w:p w14:paraId="1335535D"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w:t>
      </w:r>
    </w:p>
    <w:p w14:paraId="7FCBE0E3"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w:t>
      </w:r>
    </w:p>
    <w:p w14:paraId="4B7F56F4"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Innovación para el Desarrollo</w:t>
      </w:r>
    </w:p>
    <w:p w14:paraId="6F37BD75"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w:t>
      </w:r>
    </w:p>
    <w:p w14:paraId="486C2425"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w:t>
      </w:r>
    </w:p>
    <w:p w14:paraId="77B375FB" w14:textId="77777777" w:rsidR="008E1DDB" w:rsidRPr="00FB2783" w:rsidRDefault="008E1DDB" w:rsidP="008E1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s-CO"/>
          <w14:ligatures w14:val="none"/>
        </w:rPr>
      </w:pPr>
      <w:r w:rsidRPr="00FB2783">
        <w:rPr>
          <w:rFonts w:ascii="Courier New" w:eastAsia="Times New Roman" w:hAnsi="Courier New" w:cs="Courier New"/>
          <w:kern w:val="0"/>
          <w:sz w:val="20"/>
          <w:szCs w:val="20"/>
          <w:lang w:eastAsia="es-CO"/>
          <w14:ligatures w14:val="none"/>
        </w:rPr>
        <w:t xml:space="preserve">        América Latina más Competitiva</w:t>
      </w:r>
    </w:p>
    <w:p w14:paraId="3AC21685" w14:textId="77777777" w:rsidR="008E1DDB" w:rsidRPr="00FB2783"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Pr>
          <w:rFonts w:ascii="Times New Roman" w:eastAsia="Times New Roman" w:hAnsi="Times New Roman" w:cs="Times New Roman"/>
          <w:b/>
          <w:bCs/>
          <w:kern w:val="0"/>
          <w:sz w:val="24"/>
          <w:szCs w:val="24"/>
          <w:lang w:eastAsia="es-CO"/>
          <w14:ligatures w14:val="none"/>
        </w:rPr>
        <w:t>G</w:t>
      </w:r>
      <w:r w:rsidRPr="00FB2783">
        <w:rPr>
          <w:rFonts w:ascii="Times New Roman" w:eastAsia="Times New Roman" w:hAnsi="Times New Roman" w:cs="Times New Roman"/>
          <w:b/>
          <w:bCs/>
          <w:kern w:val="0"/>
          <w:sz w:val="24"/>
          <w:szCs w:val="24"/>
          <w:lang w:eastAsia="es-CO"/>
          <w14:ligatures w14:val="none"/>
        </w:rPr>
        <w:t>ráfico tipo radar</w:t>
      </w:r>
      <w:r w:rsidRPr="00FB2783">
        <w:rPr>
          <w:rFonts w:ascii="Times New Roman" w:eastAsia="Times New Roman" w:hAnsi="Times New Roman" w:cs="Times New Roman"/>
          <w:kern w:val="0"/>
          <w:sz w:val="24"/>
          <w:szCs w:val="24"/>
          <w:lang w:eastAsia="es-CO"/>
          <w14:ligatures w14:val="none"/>
        </w:rPr>
        <w:t>, resume muy bien toda la evaluación crítica.</w:t>
      </w:r>
    </w:p>
    <w:p w14:paraId="42E6BB5E" w14:textId="77777777" w:rsidR="008E1DDB" w:rsidRPr="00FB2783" w:rsidRDefault="008E1DDB" w:rsidP="008E1DDB">
      <w:pPr>
        <w:spacing w:before="100" w:beforeAutospacing="1" w:after="100" w:afterAutospacing="1" w:line="240" w:lineRule="auto"/>
        <w:outlineLvl w:val="2"/>
        <w:rPr>
          <w:rFonts w:ascii="Times New Roman" w:eastAsia="Times New Roman" w:hAnsi="Times New Roman" w:cs="Times New Roman"/>
          <w:b/>
          <w:bCs/>
          <w:kern w:val="0"/>
          <w:sz w:val="27"/>
          <w:szCs w:val="27"/>
          <w:lang w:eastAsia="es-CO"/>
          <w14:ligatures w14:val="none"/>
        </w:rPr>
      </w:pPr>
      <w:r w:rsidRPr="00FB2783">
        <w:rPr>
          <w:rFonts w:ascii="Times New Roman" w:eastAsia="Times New Roman" w:hAnsi="Times New Roman" w:cs="Times New Roman"/>
          <w:b/>
          <w:bCs/>
          <w:kern w:val="0"/>
          <w:sz w:val="27"/>
          <w:szCs w:val="27"/>
          <w:lang w:eastAsia="es-CO"/>
          <w14:ligatures w14:val="none"/>
        </w:rPr>
        <w:t>Figura 6. Evaluación cualitativa de las estrategias de CAF</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15"/>
        <w:gridCol w:w="1209"/>
      </w:tblGrid>
      <w:tr w:rsidR="008E1DDB" w:rsidRPr="00FB2783" w14:paraId="47893D2F" w14:textId="77777777" w:rsidTr="0067332C">
        <w:trPr>
          <w:tblHeader/>
          <w:tblCellSpacing w:w="15" w:type="dxa"/>
        </w:trPr>
        <w:tc>
          <w:tcPr>
            <w:tcW w:w="0" w:type="auto"/>
            <w:vAlign w:val="center"/>
            <w:hideMark/>
          </w:tcPr>
          <w:p w14:paraId="28AED0D4" w14:textId="77777777" w:rsidR="008E1DDB" w:rsidRPr="00FB2783" w:rsidRDefault="008E1DDB" w:rsidP="0067332C">
            <w:pPr>
              <w:spacing w:after="0" w:line="240" w:lineRule="auto"/>
              <w:jc w:val="center"/>
              <w:rPr>
                <w:rFonts w:ascii="Times New Roman" w:eastAsia="Times New Roman" w:hAnsi="Times New Roman" w:cs="Times New Roman"/>
                <w:b/>
                <w:bCs/>
                <w:kern w:val="0"/>
                <w:sz w:val="24"/>
                <w:szCs w:val="24"/>
                <w:lang w:eastAsia="es-CO"/>
                <w14:ligatures w14:val="none"/>
              </w:rPr>
            </w:pPr>
            <w:r w:rsidRPr="00FB2783">
              <w:rPr>
                <w:rFonts w:ascii="Times New Roman" w:eastAsia="Times New Roman" w:hAnsi="Times New Roman" w:cs="Times New Roman"/>
                <w:b/>
                <w:bCs/>
                <w:kern w:val="0"/>
                <w:sz w:val="24"/>
                <w:szCs w:val="24"/>
                <w:lang w:eastAsia="es-CO"/>
                <w14:ligatures w14:val="none"/>
              </w:rPr>
              <w:t>Dimensión</w:t>
            </w:r>
          </w:p>
        </w:tc>
        <w:tc>
          <w:tcPr>
            <w:tcW w:w="0" w:type="auto"/>
            <w:vAlign w:val="center"/>
            <w:hideMark/>
          </w:tcPr>
          <w:p w14:paraId="558E1A06" w14:textId="77777777" w:rsidR="008E1DDB" w:rsidRPr="00FB2783" w:rsidRDefault="008E1DDB" w:rsidP="0067332C">
            <w:pPr>
              <w:spacing w:after="0" w:line="240" w:lineRule="auto"/>
              <w:jc w:val="center"/>
              <w:rPr>
                <w:rFonts w:ascii="Times New Roman" w:eastAsia="Times New Roman" w:hAnsi="Times New Roman" w:cs="Times New Roman"/>
                <w:b/>
                <w:bCs/>
                <w:kern w:val="0"/>
                <w:sz w:val="24"/>
                <w:szCs w:val="24"/>
                <w:lang w:eastAsia="es-CO"/>
                <w14:ligatures w14:val="none"/>
              </w:rPr>
            </w:pPr>
            <w:r w:rsidRPr="00FB2783">
              <w:rPr>
                <w:rFonts w:ascii="Times New Roman" w:eastAsia="Times New Roman" w:hAnsi="Times New Roman" w:cs="Times New Roman"/>
                <w:b/>
                <w:bCs/>
                <w:kern w:val="0"/>
                <w:sz w:val="24"/>
                <w:szCs w:val="24"/>
                <w:lang w:eastAsia="es-CO"/>
                <w14:ligatures w14:val="none"/>
              </w:rPr>
              <w:t>Valoración</w:t>
            </w:r>
          </w:p>
        </w:tc>
      </w:tr>
      <w:tr w:rsidR="008E1DDB" w:rsidRPr="00FB2783" w14:paraId="4C78CC0F" w14:textId="77777777" w:rsidTr="0067332C">
        <w:trPr>
          <w:tblCellSpacing w:w="15" w:type="dxa"/>
        </w:trPr>
        <w:tc>
          <w:tcPr>
            <w:tcW w:w="0" w:type="auto"/>
            <w:vAlign w:val="center"/>
            <w:hideMark/>
          </w:tcPr>
          <w:p w14:paraId="76FD0837"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Educación</w:t>
            </w:r>
          </w:p>
        </w:tc>
        <w:tc>
          <w:tcPr>
            <w:tcW w:w="0" w:type="auto"/>
            <w:vAlign w:val="center"/>
            <w:hideMark/>
          </w:tcPr>
          <w:p w14:paraId="64312582"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Segoe UI Symbol" w:eastAsia="Times New Roman" w:hAnsi="Segoe UI Symbol" w:cs="Segoe UI Symbol"/>
                <w:kern w:val="0"/>
                <w:sz w:val="24"/>
                <w:szCs w:val="24"/>
                <w:lang w:eastAsia="es-CO"/>
                <w14:ligatures w14:val="none"/>
              </w:rPr>
              <w:t>★★★★★</w:t>
            </w:r>
          </w:p>
        </w:tc>
      </w:tr>
      <w:tr w:rsidR="008E1DDB" w:rsidRPr="00FB2783" w14:paraId="43227227" w14:textId="77777777" w:rsidTr="0067332C">
        <w:trPr>
          <w:tblCellSpacing w:w="15" w:type="dxa"/>
        </w:trPr>
        <w:tc>
          <w:tcPr>
            <w:tcW w:w="0" w:type="auto"/>
            <w:vAlign w:val="center"/>
            <w:hideMark/>
          </w:tcPr>
          <w:p w14:paraId="51394180"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Educación Superior</w:t>
            </w:r>
          </w:p>
        </w:tc>
        <w:tc>
          <w:tcPr>
            <w:tcW w:w="0" w:type="auto"/>
            <w:vAlign w:val="center"/>
            <w:hideMark/>
          </w:tcPr>
          <w:p w14:paraId="1C92B47A"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Segoe UI Symbol" w:eastAsia="Times New Roman" w:hAnsi="Segoe UI Symbol" w:cs="Segoe UI Symbol"/>
                <w:kern w:val="0"/>
                <w:sz w:val="24"/>
                <w:szCs w:val="24"/>
                <w:lang w:eastAsia="es-CO"/>
                <w14:ligatures w14:val="none"/>
              </w:rPr>
              <w:t>★★★★☆</w:t>
            </w:r>
          </w:p>
        </w:tc>
      </w:tr>
      <w:tr w:rsidR="008E1DDB" w:rsidRPr="00FB2783" w14:paraId="2DDD3C44" w14:textId="77777777" w:rsidTr="0067332C">
        <w:trPr>
          <w:tblCellSpacing w:w="15" w:type="dxa"/>
        </w:trPr>
        <w:tc>
          <w:tcPr>
            <w:tcW w:w="0" w:type="auto"/>
            <w:vAlign w:val="center"/>
            <w:hideMark/>
          </w:tcPr>
          <w:p w14:paraId="1B822719"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Ciencia</w:t>
            </w:r>
          </w:p>
        </w:tc>
        <w:tc>
          <w:tcPr>
            <w:tcW w:w="0" w:type="auto"/>
            <w:vAlign w:val="center"/>
            <w:hideMark/>
          </w:tcPr>
          <w:p w14:paraId="6B22B742"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Segoe UI Symbol" w:eastAsia="Times New Roman" w:hAnsi="Segoe UI Symbol" w:cs="Segoe UI Symbol"/>
                <w:kern w:val="0"/>
                <w:sz w:val="24"/>
                <w:szCs w:val="24"/>
                <w:lang w:eastAsia="es-CO"/>
                <w14:ligatures w14:val="none"/>
              </w:rPr>
              <w:t>★★★★☆</w:t>
            </w:r>
          </w:p>
        </w:tc>
      </w:tr>
      <w:tr w:rsidR="008E1DDB" w:rsidRPr="00FB2783" w14:paraId="362272E7" w14:textId="77777777" w:rsidTr="0067332C">
        <w:trPr>
          <w:tblCellSpacing w:w="15" w:type="dxa"/>
        </w:trPr>
        <w:tc>
          <w:tcPr>
            <w:tcW w:w="0" w:type="auto"/>
            <w:vAlign w:val="center"/>
            <w:hideMark/>
          </w:tcPr>
          <w:p w14:paraId="1B5DB5BA"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Tecnología</w:t>
            </w:r>
          </w:p>
        </w:tc>
        <w:tc>
          <w:tcPr>
            <w:tcW w:w="0" w:type="auto"/>
            <w:vAlign w:val="center"/>
            <w:hideMark/>
          </w:tcPr>
          <w:p w14:paraId="75115CCF"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Segoe UI Symbol" w:eastAsia="Times New Roman" w:hAnsi="Segoe UI Symbol" w:cs="Segoe UI Symbol"/>
                <w:kern w:val="0"/>
                <w:sz w:val="24"/>
                <w:szCs w:val="24"/>
                <w:lang w:eastAsia="es-CO"/>
                <w14:ligatures w14:val="none"/>
              </w:rPr>
              <w:t>★★★★★</w:t>
            </w:r>
          </w:p>
        </w:tc>
      </w:tr>
      <w:tr w:rsidR="008E1DDB" w:rsidRPr="00FB2783" w14:paraId="4993988F" w14:textId="77777777" w:rsidTr="0067332C">
        <w:trPr>
          <w:tblCellSpacing w:w="15" w:type="dxa"/>
        </w:trPr>
        <w:tc>
          <w:tcPr>
            <w:tcW w:w="0" w:type="auto"/>
            <w:vAlign w:val="center"/>
            <w:hideMark/>
          </w:tcPr>
          <w:p w14:paraId="629ECB94"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Innovación</w:t>
            </w:r>
          </w:p>
        </w:tc>
        <w:tc>
          <w:tcPr>
            <w:tcW w:w="0" w:type="auto"/>
            <w:vAlign w:val="center"/>
            <w:hideMark/>
          </w:tcPr>
          <w:p w14:paraId="00F4C76F"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Segoe UI Symbol" w:eastAsia="Times New Roman" w:hAnsi="Segoe UI Symbol" w:cs="Segoe UI Symbol"/>
                <w:kern w:val="0"/>
                <w:sz w:val="24"/>
                <w:szCs w:val="24"/>
                <w:lang w:eastAsia="es-CO"/>
                <w14:ligatures w14:val="none"/>
              </w:rPr>
              <w:t>★★★★☆</w:t>
            </w:r>
          </w:p>
        </w:tc>
      </w:tr>
      <w:tr w:rsidR="008E1DDB" w:rsidRPr="00FB2783" w14:paraId="5793DD83" w14:textId="77777777" w:rsidTr="0067332C">
        <w:trPr>
          <w:tblCellSpacing w:w="15" w:type="dxa"/>
        </w:trPr>
        <w:tc>
          <w:tcPr>
            <w:tcW w:w="0" w:type="auto"/>
            <w:vAlign w:val="center"/>
            <w:hideMark/>
          </w:tcPr>
          <w:p w14:paraId="3E50785F"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Medición de impacto</w:t>
            </w:r>
          </w:p>
        </w:tc>
        <w:tc>
          <w:tcPr>
            <w:tcW w:w="0" w:type="auto"/>
            <w:vAlign w:val="center"/>
            <w:hideMark/>
          </w:tcPr>
          <w:p w14:paraId="3026B253"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Segoe UI Symbol" w:eastAsia="Times New Roman" w:hAnsi="Segoe UI Symbol" w:cs="Segoe UI Symbol"/>
                <w:kern w:val="0"/>
                <w:sz w:val="24"/>
                <w:szCs w:val="24"/>
                <w:lang w:eastAsia="es-CO"/>
                <w14:ligatures w14:val="none"/>
              </w:rPr>
              <w:t>★★★☆☆</w:t>
            </w:r>
          </w:p>
        </w:tc>
      </w:tr>
      <w:tr w:rsidR="008E1DDB" w:rsidRPr="00FB2783" w14:paraId="479B72BB" w14:textId="77777777" w:rsidTr="0067332C">
        <w:trPr>
          <w:tblCellSpacing w:w="15" w:type="dxa"/>
        </w:trPr>
        <w:tc>
          <w:tcPr>
            <w:tcW w:w="0" w:type="auto"/>
            <w:vAlign w:val="center"/>
            <w:hideMark/>
          </w:tcPr>
          <w:p w14:paraId="5EA5CFBE"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Integración regional</w:t>
            </w:r>
          </w:p>
        </w:tc>
        <w:tc>
          <w:tcPr>
            <w:tcW w:w="0" w:type="auto"/>
            <w:vAlign w:val="center"/>
            <w:hideMark/>
          </w:tcPr>
          <w:p w14:paraId="1A1F8E1B"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Segoe UI Symbol" w:eastAsia="Times New Roman" w:hAnsi="Segoe UI Symbol" w:cs="Segoe UI Symbol"/>
                <w:kern w:val="0"/>
                <w:sz w:val="24"/>
                <w:szCs w:val="24"/>
                <w:lang w:eastAsia="es-CO"/>
                <w14:ligatures w14:val="none"/>
              </w:rPr>
              <w:t>★★★★★</w:t>
            </w:r>
          </w:p>
        </w:tc>
      </w:tr>
    </w:tbl>
    <w:p w14:paraId="318D505E" w14:textId="77777777" w:rsidR="008E1DDB" w:rsidRPr="00FB2783" w:rsidRDefault="008E1DDB" w:rsidP="008E1DDB">
      <w:pPr>
        <w:spacing w:before="100" w:beforeAutospacing="1" w:after="100" w:afterAutospacing="1" w:line="240" w:lineRule="auto"/>
        <w:outlineLvl w:val="2"/>
        <w:rPr>
          <w:rFonts w:ascii="Times New Roman" w:eastAsia="Times New Roman" w:hAnsi="Times New Roman" w:cs="Times New Roman"/>
          <w:b/>
          <w:bCs/>
          <w:kern w:val="0"/>
          <w:sz w:val="27"/>
          <w:szCs w:val="27"/>
          <w:lang w:eastAsia="es-CO"/>
          <w14:ligatures w14:val="none"/>
        </w:rPr>
      </w:pPr>
      <w:r w:rsidRPr="00FB2783">
        <w:rPr>
          <w:rFonts w:ascii="Times New Roman" w:eastAsia="Times New Roman" w:hAnsi="Times New Roman" w:cs="Times New Roman"/>
          <w:b/>
          <w:bCs/>
          <w:kern w:val="0"/>
          <w:sz w:val="27"/>
          <w:szCs w:val="27"/>
          <w:lang w:eastAsia="es-CO"/>
          <w14:ligatures w14:val="none"/>
        </w:rPr>
        <w:t>Matriz DOFA de CAF (2021–2026)</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81"/>
        <w:gridCol w:w="5040"/>
      </w:tblGrid>
      <w:tr w:rsidR="008E1DDB" w:rsidRPr="00FB2783" w14:paraId="67FFEE4F" w14:textId="77777777" w:rsidTr="0067332C">
        <w:trPr>
          <w:tblHeader/>
          <w:tblCellSpacing w:w="15" w:type="dxa"/>
        </w:trPr>
        <w:tc>
          <w:tcPr>
            <w:tcW w:w="0" w:type="auto"/>
            <w:vAlign w:val="center"/>
            <w:hideMark/>
          </w:tcPr>
          <w:p w14:paraId="1550F739" w14:textId="77777777" w:rsidR="008E1DDB" w:rsidRPr="00FB2783" w:rsidRDefault="008E1DDB" w:rsidP="0067332C">
            <w:pPr>
              <w:spacing w:after="0" w:line="240" w:lineRule="auto"/>
              <w:jc w:val="center"/>
              <w:rPr>
                <w:rFonts w:ascii="Times New Roman" w:eastAsia="Times New Roman" w:hAnsi="Times New Roman" w:cs="Times New Roman"/>
                <w:b/>
                <w:bCs/>
                <w:kern w:val="0"/>
                <w:sz w:val="24"/>
                <w:szCs w:val="24"/>
                <w:lang w:eastAsia="es-CO"/>
                <w14:ligatures w14:val="none"/>
              </w:rPr>
            </w:pPr>
            <w:r w:rsidRPr="00FB2783">
              <w:rPr>
                <w:rFonts w:ascii="Times New Roman" w:eastAsia="Times New Roman" w:hAnsi="Times New Roman" w:cs="Times New Roman"/>
                <w:b/>
                <w:bCs/>
                <w:kern w:val="0"/>
                <w:sz w:val="24"/>
                <w:szCs w:val="24"/>
                <w:lang w:eastAsia="es-CO"/>
                <w14:ligatures w14:val="none"/>
              </w:rPr>
              <w:t>Fortalezas</w:t>
            </w:r>
          </w:p>
        </w:tc>
        <w:tc>
          <w:tcPr>
            <w:tcW w:w="0" w:type="auto"/>
            <w:vAlign w:val="center"/>
            <w:hideMark/>
          </w:tcPr>
          <w:p w14:paraId="5E290DB6" w14:textId="77777777" w:rsidR="008E1DDB" w:rsidRPr="00FB2783" w:rsidRDefault="008E1DDB" w:rsidP="0067332C">
            <w:pPr>
              <w:spacing w:after="0" w:line="240" w:lineRule="auto"/>
              <w:jc w:val="center"/>
              <w:rPr>
                <w:rFonts w:ascii="Times New Roman" w:eastAsia="Times New Roman" w:hAnsi="Times New Roman" w:cs="Times New Roman"/>
                <w:b/>
                <w:bCs/>
                <w:kern w:val="0"/>
                <w:sz w:val="24"/>
                <w:szCs w:val="24"/>
                <w:lang w:eastAsia="es-CO"/>
                <w14:ligatures w14:val="none"/>
              </w:rPr>
            </w:pPr>
            <w:r w:rsidRPr="00FB2783">
              <w:rPr>
                <w:rFonts w:ascii="Times New Roman" w:eastAsia="Times New Roman" w:hAnsi="Times New Roman" w:cs="Times New Roman"/>
                <w:b/>
                <w:bCs/>
                <w:kern w:val="0"/>
                <w:sz w:val="24"/>
                <w:szCs w:val="24"/>
                <w:lang w:eastAsia="es-CO"/>
                <w14:ligatures w14:val="none"/>
              </w:rPr>
              <w:t>Oportunidades</w:t>
            </w:r>
          </w:p>
        </w:tc>
      </w:tr>
      <w:tr w:rsidR="008E1DDB" w:rsidRPr="00FB2783" w14:paraId="39902A2D" w14:textId="77777777" w:rsidTr="0067332C">
        <w:trPr>
          <w:tblCellSpacing w:w="15" w:type="dxa"/>
        </w:trPr>
        <w:tc>
          <w:tcPr>
            <w:tcW w:w="0" w:type="auto"/>
            <w:vAlign w:val="center"/>
            <w:hideMark/>
          </w:tcPr>
          <w:p w14:paraId="60663BD1"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Solidez financiera.</w:t>
            </w:r>
          </w:p>
        </w:tc>
        <w:tc>
          <w:tcPr>
            <w:tcW w:w="0" w:type="auto"/>
            <w:vAlign w:val="center"/>
            <w:hideMark/>
          </w:tcPr>
          <w:p w14:paraId="4D11A913"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Expansión de la inteligencia artificial en educación.</w:t>
            </w:r>
          </w:p>
        </w:tc>
      </w:tr>
      <w:tr w:rsidR="008E1DDB" w:rsidRPr="00FB2783" w14:paraId="2D793431" w14:textId="77777777" w:rsidTr="0067332C">
        <w:trPr>
          <w:tblCellSpacing w:w="15" w:type="dxa"/>
        </w:trPr>
        <w:tc>
          <w:tcPr>
            <w:tcW w:w="0" w:type="auto"/>
            <w:vAlign w:val="center"/>
            <w:hideMark/>
          </w:tcPr>
          <w:p w14:paraId="6AAEC5E1"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Prestigio regional.</w:t>
            </w:r>
          </w:p>
        </w:tc>
        <w:tc>
          <w:tcPr>
            <w:tcW w:w="0" w:type="auto"/>
            <w:vAlign w:val="center"/>
            <w:hideMark/>
          </w:tcPr>
          <w:p w14:paraId="4DEA3828"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Crecimiento de la ciencia abierta.</w:t>
            </w:r>
          </w:p>
        </w:tc>
      </w:tr>
      <w:tr w:rsidR="008E1DDB" w:rsidRPr="00FB2783" w14:paraId="61D65FCC" w14:textId="77777777" w:rsidTr="0067332C">
        <w:trPr>
          <w:tblCellSpacing w:w="15" w:type="dxa"/>
        </w:trPr>
        <w:tc>
          <w:tcPr>
            <w:tcW w:w="0" w:type="auto"/>
            <w:vAlign w:val="center"/>
            <w:hideMark/>
          </w:tcPr>
          <w:p w14:paraId="1DD41797"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lastRenderedPageBreak/>
              <w:t>Cooperación técnica.</w:t>
            </w:r>
          </w:p>
        </w:tc>
        <w:tc>
          <w:tcPr>
            <w:tcW w:w="0" w:type="auto"/>
            <w:vAlign w:val="center"/>
            <w:hideMark/>
          </w:tcPr>
          <w:p w14:paraId="6C99C2E3"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Mayor integración regional.</w:t>
            </w:r>
          </w:p>
        </w:tc>
      </w:tr>
      <w:tr w:rsidR="008E1DDB" w:rsidRPr="00FB2783" w14:paraId="5CB9A370" w14:textId="77777777" w:rsidTr="0067332C">
        <w:trPr>
          <w:tblCellSpacing w:w="15" w:type="dxa"/>
        </w:trPr>
        <w:tc>
          <w:tcPr>
            <w:tcW w:w="0" w:type="auto"/>
            <w:vAlign w:val="center"/>
            <w:hideMark/>
          </w:tcPr>
          <w:p w14:paraId="7825ED26"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Producción de conocimiento.</w:t>
            </w:r>
          </w:p>
        </w:tc>
        <w:tc>
          <w:tcPr>
            <w:tcW w:w="0" w:type="auto"/>
            <w:vAlign w:val="center"/>
            <w:hideMark/>
          </w:tcPr>
          <w:p w14:paraId="6207B50D"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Transición hacia economías del conocimiento.</w:t>
            </w:r>
          </w:p>
        </w:tc>
      </w:tr>
    </w:tbl>
    <w:p w14:paraId="58BFF938" w14:textId="77777777" w:rsidR="008E1DDB" w:rsidRPr="00FB2783" w:rsidRDefault="008E1DDB" w:rsidP="008E1DDB">
      <w:pPr>
        <w:spacing w:after="0" w:line="240" w:lineRule="auto"/>
        <w:rPr>
          <w:rFonts w:ascii="Times New Roman" w:eastAsia="Times New Roman" w:hAnsi="Times New Roman" w:cs="Times New Roman"/>
          <w:vanish/>
          <w:kern w:val="0"/>
          <w:sz w:val="24"/>
          <w:szCs w:val="24"/>
          <w:lang w:eastAsia="es-CO"/>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72"/>
        <w:gridCol w:w="5066"/>
      </w:tblGrid>
      <w:tr w:rsidR="008E1DDB" w:rsidRPr="00FB2783" w14:paraId="053B7903" w14:textId="77777777" w:rsidTr="0067332C">
        <w:trPr>
          <w:tblHeader/>
          <w:tblCellSpacing w:w="15" w:type="dxa"/>
        </w:trPr>
        <w:tc>
          <w:tcPr>
            <w:tcW w:w="0" w:type="auto"/>
            <w:vAlign w:val="center"/>
            <w:hideMark/>
          </w:tcPr>
          <w:p w14:paraId="57C8CB02" w14:textId="77777777" w:rsidR="008E1DDB" w:rsidRPr="00FB2783" w:rsidRDefault="008E1DDB" w:rsidP="0067332C">
            <w:pPr>
              <w:spacing w:after="0" w:line="240" w:lineRule="auto"/>
              <w:jc w:val="center"/>
              <w:rPr>
                <w:rFonts w:ascii="Times New Roman" w:eastAsia="Times New Roman" w:hAnsi="Times New Roman" w:cs="Times New Roman"/>
                <w:b/>
                <w:bCs/>
                <w:kern w:val="0"/>
                <w:sz w:val="24"/>
                <w:szCs w:val="24"/>
                <w:lang w:eastAsia="es-CO"/>
                <w14:ligatures w14:val="none"/>
              </w:rPr>
            </w:pPr>
            <w:r w:rsidRPr="00FB2783">
              <w:rPr>
                <w:rFonts w:ascii="Times New Roman" w:eastAsia="Times New Roman" w:hAnsi="Times New Roman" w:cs="Times New Roman"/>
                <w:b/>
                <w:bCs/>
                <w:kern w:val="0"/>
                <w:sz w:val="24"/>
                <w:szCs w:val="24"/>
                <w:lang w:eastAsia="es-CO"/>
                <w14:ligatures w14:val="none"/>
              </w:rPr>
              <w:t>Debilidades</w:t>
            </w:r>
          </w:p>
        </w:tc>
        <w:tc>
          <w:tcPr>
            <w:tcW w:w="0" w:type="auto"/>
            <w:vAlign w:val="center"/>
            <w:hideMark/>
          </w:tcPr>
          <w:p w14:paraId="4D20FA9F" w14:textId="77777777" w:rsidR="008E1DDB" w:rsidRPr="00FB2783" w:rsidRDefault="008E1DDB" w:rsidP="0067332C">
            <w:pPr>
              <w:spacing w:after="0" w:line="240" w:lineRule="auto"/>
              <w:jc w:val="center"/>
              <w:rPr>
                <w:rFonts w:ascii="Times New Roman" w:eastAsia="Times New Roman" w:hAnsi="Times New Roman" w:cs="Times New Roman"/>
                <w:b/>
                <w:bCs/>
                <w:kern w:val="0"/>
                <w:sz w:val="24"/>
                <w:szCs w:val="24"/>
                <w:lang w:eastAsia="es-CO"/>
                <w14:ligatures w14:val="none"/>
              </w:rPr>
            </w:pPr>
            <w:r w:rsidRPr="00FB2783">
              <w:rPr>
                <w:rFonts w:ascii="Times New Roman" w:eastAsia="Times New Roman" w:hAnsi="Times New Roman" w:cs="Times New Roman"/>
                <w:b/>
                <w:bCs/>
                <w:kern w:val="0"/>
                <w:sz w:val="24"/>
                <w:szCs w:val="24"/>
                <w:lang w:eastAsia="es-CO"/>
                <w14:ligatures w14:val="none"/>
              </w:rPr>
              <w:t>Amenazas</w:t>
            </w:r>
          </w:p>
        </w:tc>
      </w:tr>
      <w:tr w:rsidR="008E1DDB" w:rsidRPr="00FB2783" w14:paraId="2DB977C4" w14:textId="77777777" w:rsidTr="0067332C">
        <w:trPr>
          <w:tblCellSpacing w:w="15" w:type="dxa"/>
        </w:trPr>
        <w:tc>
          <w:tcPr>
            <w:tcW w:w="0" w:type="auto"/>
            <w:vAlign w:val="center"/>
            <w:hideMark/>
          </w:tcPr>
          <w:p w14:paraId="559E13FF"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Medición insuficiente del impacto.</w:t>
            </w:r>
          </w:p>
        </w:tc>
        <w:tc>
          <w:tcPr>
            <w:tcW w:w="0" w:type="auto"/>
            <w:vAlign w:val="center"/>
            <w:hideMark/>
          </w:tcPr>
          <w:p w14:paraId="2C720869"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Restricciones fiscales en los países miembros.</w:t>
            </w:r>
          </w:p>
        </w:tc>
      </w:tr>
      <w:tr w:rsidR="008E1DDB" w:rsidRPr="00FB2783" w14:paraId="3A2F90B1" w14:textId="77777777" w:rsidTr="0067332C">
        <w:trPr>
          <w:tblCellSpacing w:w="15" w:type="dxa"/>
        </w:trPr>
        <w:tc>
          <w:tcPr>
            <w:tcW w:w="0" w:type="auto"/>
            <w:vAlign w:val="center"/>
            <w:hideMark/>
          </w:tcPr>
          <w:p w14:paraId="3F3468F4"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Escasa evidencia longitudinal.</w:t>
            </w:r>
          </w:p>
        </w:tc>
        <w:tc>
          <w:tcPr>
            <w:tcW w:w="0" w:type="auto"/>
            <w:vAlign w:val="center"/>
            <w:hideMark/>
          </w:tcPr>
          <w:p w14:paraId="58AB2ECF"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Cambios de prioridades gubernamentales.</w:t>
            </w:r>
          </w:p>
        </w:tc>
      </w:tr>
      <w:tr w:rsidR="008E1DDB" w:rsidRPr="00FB2783" w14:paraId="357EC909" w14:textId="77777777" w:rsidTr="0067332C">
        <w:trPr>
          <w:tblCellSpacing w:w="15" w:type="dxa"/>
        </w:trPr>
        <w:tc>
          <w:tcPr>
            <w:tcW w:w="0" w:type="auto"/>
            <w:vAlign w:val="center"/>
            <w:hideMark/>
          </w:tcPr>
          <w:p w14:paraId="4DCEB9CE"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Desigual capacidad institucional entre países.</w:t>
            </w:r>
          </w:p>
        </w:tc>
        <w:tc>
          <w:tcPr>
            <w:tcW w:w="0" w:type="auto"/>
            <w:vAlign w:val="center"/>
            <w:hideMark/>
          </w:tcPr>
          <w:p w14:paraId="0EBAF612" w14:textId="77777777" w:rsidR="008E1DDB" w:rsidRPr="00FB2783" w:rsidRDefault="008E1DDB" w:rsidP="0067332C">
            <w:pPr>
              <w:spacing w:after="0" w:line="240" w:lineRule="auto"/>
              <w:rPr>
                <w:rFonts w:ascii="Times New Roman" w:eastAsia="Times New Roman" w:hAnsi="Times New Roman" w:cs="Times New Roman"/>
                <w:kern w:val="0"/>
                <w:sz w:val="24"/>
                <w:szCs w:val="24"/>
                <w:lang w:eastAsia="es-CO"/>
                <w14:ligatures w14:val="none"/>
              </w:rPr>
            </w:pPr>
            <w:r w:rsidRPr="00FB2783">
              <w:rPr>
                <w:rFonts w:ascii="Times New Roman" w:eastAsia="Times New Roman" w:hAnsi="Times New Roman" w:cs="Times New Roman"/>
                <w:kern w:val="0"/>
                <w:sz w:val="24"/>
                <w:szCs w:val="24"/>
                <w:lang w:eastAsia="es-CO"/>
                <w14:ligatures w14:val="none"/>
              </w:rPr>
              <w:t>Aceleración tecnológica que puede ampliar brechas digitales.</w:t>
            </w:r>
          </w:p>
        </w:tc>
      </w:tr>
    </w:tbl>
    <w:p w14:paraId="5BF33675" w14:textId="42672B44" w:rsidR="008E1DDB" w:rsidRPr="00FB2783" w:rsidRDefault="00C422AC"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Pr>
          <w:rFonts w:ascii="Times New Roman" w:eastAsia="Times New Roman" w:hAnsi="Times New Roman" w:cs="Times New Roman"/>
          <w:b/>
          <w:bCs/>
          <w:kern w:val="0"/>
          <w:sz w:val="24"/>
          <w:szCs w:val="24"/>
          <w:lang w:eastAsia="es-CO"/>
          <w14:ligatures w14:val="none"/>
        </w:rPr>
        <w:t>E</w:t>
      </w:r>
      <w:r w:rsidR="008E1DDB" w:rsidRPr="00FB2783">
        <w:rPr>
          <w:rFonts w:ascii="Times New Roman" w:eastAsia="Times New Roman" w:hAnsi="Times New Roman" w:cs="Times New Roman"/>
          <w:b/>
          <w:bCs/>
          <w:kern w:val="0"/>
          <w:sz w:val="24"/>
          <w:szCs w:val="24"/>
          <w:lang w:eastAsia="es-CO"/>
          <w14:ligatures w14:val="none"/>
        </w:rPr>
        <w:t>sta matriz DOFA es el elemento que le daría al documento un nivel cercano al de un informe elaborado para un organismo multilateral</w:t>
      </w:r>
      <w:r w:rsidR="008E1DDB" w:rsidRPr="00FB2783">
        <w:rPr>
          <w:rFonts w:ascii="Times New Roman" w:eastAsia="Times New Roman" w:hAnsi="Times New Roman" w:cs="Times New Roman"/>
          <w:kern w:val="0"/>
          <w:sz w:val="24"/>
          <w:szCs w:val="24"/>
          <w:lang w:eastAsia="es-CO"/>
          <w14:ligatures w14:val="none"/>
        </w:rPr>
        <w:t>, ya que resume de forma clara el análisis estratégico y facilita la discusión de las recomendaciones.</w:t>
      </w:r>
    </w:p>
    <w:p w14:paraId="1C7D1EB1" w14:textId="77777777" w:rsidR="008E1DDB" w:rsidRPr="00A2235B" w:rsidRDefault="008E1DDB" w:rsidP="008E1DDB">
      <w:pPr>
        <w:spacing w:before="100" w:beforeAutospacing="1" w:after="100" w:afterAutospacing="1" w:line="240" w:lineRule="auto"/>
        <w:rPr>
          <w:rFonts w:ascii="Times New Roman" w:eastAsia="Times New Roman" w:hAnsi="Times New Roman" w:cs="Times New Roman"/>
          <w:kern w:val="0"/>
          <w:sz w:val="24"/>
          <w:szCs w:val="24"/>
          <w:lang w:eastAsia="es-CO"/>
          <w14:ligatures w14:val="none"/>
        </w:rPr>
      </w:pPr>
      <w:r w:rsidRPr="00C63C07">
        <w:rPr>
          <w:rFonts w:ascii="Times New Roman" w:eastAsia="Times New Roman" w:hAnsi="Times New Roman" w:cs="Times New Roman"/>
          <w:i/>
          <w:iCs/>
          <w:kern w:val="0"/>
          <w:sz w:val="24"/>
          <w:szCs w:val="24"/>
          <w:highlight w:val="yellow"/>
          <w:lang w:eastAsia="es-CO"/>
          <w14:ligatures w14:val="none"/>
        </w:rPr>
        <w:t>Más que incrementar el volumen de financiamiento, el principal desafío de CAF consiste en maximizar el impacto transformador de sus intervenciones. Ello implica fortalecer los mecanismos de evaluación basada en evidencia, consolidar ecosistemas regionales de conocimiento e innovación y promover una cooperación más estrecha entre gobiernos, universidades, centros de investigación y sector productivo. En un contexto de acelerada transformación tecnológica y crecientes desafíos sociales y ambientales, CAF tiene la oportunidad de consolidarse como el principal articulador del desarrollo basado en el conocimiento en América Latina y el Caribe.</w:t>
      </w:r>
    </w:p>
    <w:p w14:paraId="070F2D44" w14:textId="77777777" w:rsidR="008E1DDB" w:rsidRPr="00FB2783" w:rsidRDefault="008E1DDB" w:rsidP="008E1DDB">
      <w:pPr>
        <w:pBdr>
          <w:bottom w:val="single" w:sz="6" w:space="1" w:color="auto"/>
        </w:pBdr>
        <w:spacing w:after="0" w:line="240" w:lineRule="auto"/>
        <w:jc w:val="center"/>
        <w:rPr>
          <w:rFonts w:ascii="Arial" w:eastAsia="Times New Roman" w:hAnsi="Arial" w:cs="Arial"/>
          <w:vanish/>
          <w:kern w:val="0"/>
          <w:sz w:val="16"/>
          <w:szCs w:val="16"/>
          <w:lang w:eastAsia="es-CO"/>
          <w14:ligatures w14:val="none"/>
        </w:rPr>
      </w:pPr>
      <w:r w:rsidRPr="00FB2783">
        <w:rPr>
          <w:rFonts w:ascii="Arial" w:eastAsia="Times New Roman" w:hAnsi="Arial" w:cs="Arial"/>
          <w:vanish/>
          <w:kern w:val="0"/>
          <w:sz w:val="16"/>
          <w:szCs w:val="16"/>
          <w:lang w:eastAsia="es-CO"/>
          <w14:ligatures w14:val="none"/>
        </w:rPr>
        <w:t>Principio del formulario</w:t>
      </w:r>
    </w:p>
    <w:p w14:paraId="6C484FAF" w14:textId="77777777" w:rsidR="008E1DDB" w:rsidRPr="00FB2783" w:rsidRDefault="008E1DDB" w:rsidP="008E1DDB">
      <w:pPr>
        <w:pBdr>
          <w:top w:val="single" w:sz="6" w:space="1" w:color="auto"/>
        </w:pBdr>
        <w:spacing w:after="0" w:line="240" w:lineRule="auto"/>
        <w:jc w:val="center"/>
        <w:rPr>
          <w:rFonts w:ascii="Arial" w:eastAsia="Times New Roman" w:hAnsi="Arial" w:cs="Arial"/>
          <w:vanish/>
          <w:kern w:val="0"/>
          <w:sz w:val="16"/>
          <w:szCs w:val="16"/>
          <w:lang w:eastAsia="es-CO"/>
          <w14:ligatures w14:val="none"/>
        </w:rPr>
      </w:pPr>
      <w:r w:rsidRPr="00FB2783">
        <w:rPr>
          <w:rFonts w:ascii="Arial" w:eastAsia="Times New Roman" w:hAnsi="Arial" w:cs="Arial"/>
          <w:vanish/>
          <w:kern w:val="0"/>
          <w:sz w:val="16"/>
          <w:szCs w:val="16"/>
          <w:lang w:eastAsia="es-CO"/>
          <w14:ligatures w14:val="none"/>
        </w:rPr>
        <w:t>Final del formulario</w:t>
      </w:r>
    </w:p>
    <w:p w14:paraId="2D25DF71" w14:textId="77777777" w:rsidR="008E1DDB" w:rsidRPr="00F05A82" w:rsidRDefault="008E1DDB" w:rsidP="008E1DDB">
      <w:pPr>
        <w:pBdr>
          <w:bottom w:val="single" w:sz="6" w:space="1" w:color="auto"/>
        </w:pBdr>
        <w:spacing w:after="0" w:line="240" w:lineRule="auto"/>
        <w:jc w:val="center"/>
        <w:rPr>
          <w:rFonts w:ascii="Arial" w:eastAsia="Times New Roman" w:hAnsi="Arial" w:cs="Arial"/>
          <w:vanish/>
          <w:kern w:val="0"/>
          <w:sz w:val="16"/>
          <w:szCs w:val="16"/>
          <w:lang w:eastAsia="es-CO"/>
          <w14:ligatures w14:val="none"/>
        </w:rPr>
      </w:pPr>
      <w:r w:rsidRPr="00F05A82">
        <w:rPr>
          <w:rFonts w:ascii="Arial" w:eastAsia="Times New Roman" w:hAnsi="Arial" w:cs="Arial"/>
          <w:vanish/>
          <w:kern w:val="0"/>
          <w:sz w:val="16"/>
          <w:szCs w:val="16"/>
          <w:lang w:eastAsia="es-CO"/>
          <w14:ligatures w14:val="none"/>
        </w:rPr>
        <w:t>Principio del formulario</w:t>
      </w:r>
    </w:p>
    <w:p w14:paraId="20F9B710" w14:textId="77777777" w:rsidR="008E1DDB" w:rsidRPr="00F05A82" w:rsidRDefault="008E1DDB" w:rsidP="008E1DDB">
      <w:pPr>
        <w:pBdr>
          <w:top w:val="single" w:sz="6" w:space="1" w:color="auto"/>
        </w:pBdr>
        <w:spacing w:after="0" w:line="240" w:lineRule="auto"/>
        <w:jc w:val="center"/>
        <w:rPr>
          <w:rFonts w:ascii="Arial" w:eastAsia="Times New Roman" w:hAnsi="Arial" w:cs="Arial"/>
          <w:vanish/>
          <w:kern w:val="0"/>
          <w:sz w:val="16"/>
          <w:szCs w:val="16"/>
          <w:lang w:eastAsia="es-CO"/>
          <w14:ligatures w14:val="none"/>
        </w:rPr>
      </w:pPr>
      <w:r w:rsidRPr="00F05A82">
        <w:rPr>
          <w:rFonts w:ascii="Arial" w:eastAsia="Times New Roman" w:hAnsi="Arial" w:cs="Arial"/>
          <w:vanish/>
          <w:kern w:val="0"/>
          <w:sz w:val="16"/>
          <w:szCs w:val="16"/>
          <w:lang w:eastAsia="es-CO"/>
          <w14:ligatures w14:val="none"/>
        </w:rPr>
        <w:t>Final del formulario</w:t>
      </w:r>
    </w:p>
    <w:p w14:paraId="26F09F74" w14:textId="77777777" w:rsidR="008E1DDB" w:rsidRPr="006C636A" w:rsidRDefault="008E1DDB" w:rsidP="008E1DDB">
      <w:pPr>
        <w:rPr>
          <w:lang w:val="es-MX"/>
        </w:rPr>
      </w:pPr>
    </w:p>
    <w:p w14:paraId="68437C5E" w14:textId="77777777" w:rsidR="00DB4CBF" w:rsidRDefault="00DB4CBF"/>
    <w:sectPr w:rsidR="00DB4CBF" w:rsidSect="008E1DD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610FEB"/>
    <w:multiLevelType w:val="multilevel"/>
    <w:tmpl w:val="A4C22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830CA8"/>
    <w:multiLevelType w:val="multilevel"/>
    <w:tmpl w:val="88AA6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30B587D"/>
    <w:multiLevelType w:val="multilevel"/>
    <w:tmpl w:val="065AE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5F552EF"/>
    <w:multiLevelType w:val="multilevel"/>
    <w:tmpl w:val="CF4C2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AE5329"/>
    <w:multiLevelType w:val="multilevel"/>
    <w:tmpl w:val="01D6C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D53EDD"/>
    <w:multiLevelType w:val="multilevel"/>
    <w:tmpl w:val="ADF2B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1A52F7"/>
    <w:multiLevelType w:val="multilevel"/>
    <w:tmpl w:val="238C2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A14DF8"/>
    <w:multiLevelType w:val="multilevel"/>
    <w:tmpl w:val="B1DCC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C20FF8"/>
    <w:multiLevelType w:val="multilevel"/>
    <w:tmpl w:val="9AB22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1422733">
    <w:abstractNumId w:val="5"/>
  </w:num>
  <w:num w:numId="2" w16cid:durableId="614673029">
    <w:abstractNumId w:val="7"/>
  </w:num>
  <w:num w:numId="3" w16cid:durableId="763574289">
    <w:abstractNumId w:val="6"/>
  </w:num>
  <w:num w:numId="4" w16cid:durableId="457647774">
    <w:abstractNumId w:val="0"/>
  </w:num>
  <w:num w:numId="5" w16cid:durableId="1657807472">
    <w:abstractNumId w:val="1"/>
  </w:num>
  <w:num w:numId="6" w16cid:durableId="916086843">
    <w:abstractNumId w:val="4"/>
  </w:num>
  <w:num w:numId="7" w16cid:durableId="316106958">
    <w:abstractNumId w:val="3"/>
  </w:num>
  <w:num w:numId="8" w16cid:durableId="1712879733">
    <w:abstractNumId w:val="8"/>
  </w:num>
  <w:num w:numId="9" w16cid:durableId="5739789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DDB"/>
    <w:rsid w:val="0004566F"/>
    <w:rsid w:val="000924A4"/>
    <w:rsid w:val="000F15AD"/>
    <w:rsid w:val="001A0016"/>
    <w:rsid w:val="001A27EB"/>
    <w:rsid w:val="002C5F87"/>
    <w:rsid w:val="00334A69"/>
    <w:rsid w:val="00356203"/>
    <w:rsid w:val="003E6697"/>
    <w:rsid w:val="004F203C"/>
    <w:rsid w:val="00531868"/>
    <w:rsid w:val="005F0B43"/>
    <w:rsid w:val="00721F40"/>
    <w:rsid w:val="007D78C7"/>
    <w:rsid w:val="00855433"/>
    <w:rsid w:val="008E1DDB"/>
    <w:rsid w:val="00916611"/>
    <w:rsid w:val="00982E5F"/>
    <w:rsid w:val="00A34B24"/>
    <w:rsid w:val="00A61075"/>
    <w:rsid w:val="00AC7443"/>
    <w:rsid w:val="00B029F1"/>
    <w:rsid w:val="00B3407B"/>
    <w:rsid w:val="00B67C44"/>
    <w:rsid w:val="00B96315"/>
    <w:rsid w:val="00BD2BCE"/>
    <w:rsid w:val="00C11E45"/>
    <w:rsid w:val="00C422AC"/>
    <w:rsid w:val="00C63C07"/>
    <w:rsid w:val="00D04639"/>
    <w:rsid w:val="00D27107"/>
    <w:rsid w:val="00DB4CBF"/>
    <w:rsid w:val="00DC16FD"/>
    <w:rsid w:val="00DD265B"/>
    <w:rsid w:val="00E24D21"/>
    <w:rsid w:val="00E250E8"/>
    <w:rsid w:val="00FB1340"/>
    <w:rsid w:val="00FC63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C95F3"/>
  <w15:chartTrackingRefBased/>
  <w15:docId w15:val="{40DD2C04-4488-4FE1-A1AE-7A4ACF348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DDB"/>
  </w:style>
  <w:style w:type="paragraph" w:styleId="Ttulo1">
    <w:name w:val="heading 1"/>
    <w:basedOn w:val="Normal"/>
    <w:next w:val="Normal"/>
    <w:link w:val="Ttulo1Car"/>
    <w:uiPriority w:val="9"/>
    <w:qFormat/>
    <w:rsid w:val="008E1D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E1D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E1DD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E1DD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E1DD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E1DD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E1DD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E1DD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E1DD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E1DD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E1DD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E1DD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E1DD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E1DD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E1DD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E1DD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E1DD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E1DDB"/>
    <w:rPr>
      <w:rFonts w:eastAsiaTheme="majorEastAsia" w:cstheme="majorBidi"/>
      <w:color w:val="272727" w:themeColor="text1" w:themeTint="D8"/>
    </w:rPr>
  </w:style>
  <w:style w:type="paragraph" w:styleId="Ttulo">
    <w:name w:val="Title"/>
    <w:basedOn w:val="Normal"/>
    <w:next w:val="Normal"/>
    <w:link w:val="TtuloCar"/>
    <w:uiPriority w:val="10"/>
    <w:qFormat/>
    <w:rsid w:val="008E1D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E1DD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E1DD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E1DD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E1DDB"/>
    <w:pPr>
      <w:spacing w:before="160"/>
      <w:jc w:val="center"/>
    </w:pPr>
    <w:rPr>
      <w:i/>
      <w:iCs/>
      <w:color w:val="404040" w:themeColor="text1" w:themeTint="BF"/>
    </w:rPr>
  </w:style>
  <w:style w:type="character" w:customStyle="1" w:styleId="CitaCar">
    <w:name w:val="Cita Car"/>
    <w:basedOn w:val="Fuentedeprrafopredeter"/>
    <w:link w:val="Cita"/>
    <w:uiPriority w:val="29"/>
    <w:rsid w:val="008E1DDB"/>
    <w:rPr>
      <w:i/>
      <w:iCs/>
      <w:color w:val="404040" w:themeColor="text1" w:themeTint="BF"/>
    </w:rPr>
  </w:style>
  <w:style w:type="paragraph" w:styleId="Prrafodelista">
    <w:name w:val="List Paragraph"/>
    <w:basedOn w:val="Normal"/>
    <w:uiPriority w:val="34"/>
    <w:qFormat/>
    <w:rsid w:val="008E1DDB"/>
    <w:pPr>
      <w:ind w:left="720"/>
      <w:contextualSpacing/>
    </w:pPr>
  </w:style>
  <w:style w:type="character" w:styleId="nfasisintenso">
    <w:name w:val="Intense Emphasis"/>
    <w:basedOn w:val="Fuentedeprrafopredeter"/>
    <w:uiPriority w:val="21"/>
    <w:qFormat/>
    <w:rsid w:val="008E1DDB"/>
    <w:rPr>
      <w:i/>
      <w:iCs/>
      <w:color w:val="0F4761" w:themeColor="accent1" w:themeShade="BF"/>
    </w:rPr>
  </w:style>
  <w:style w:type="paragraph" w:styleId="Citadestacada">
    <w:name w:val="Intense Quote"/>
    <w:basedOn w:val="Normal"/>
    <w:next w:val="Normal"/>
    <w:link w:val="CitadestacadaCar"/>
    <w:uiPriority w:val="30"/>
    <w:qFormat/>
    <w:rsid w:val="008E1D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E1DDB"/>
    <w:rPr>
      <w:i/>
      <w:iCs/>
      <w:color w:val="0F4761" w:themeColor="accent1" w:themeShade="BF"/>
    </w:rPr>
  </w:style>
  <w:style w:type="character" w:styleId="Referenciaintensa">
    <w:name w:val="Intense Reference"/>
    <w:basedOn w:val="Fuentedeprrafopredeter"/>
    <w:uiPriority w:val="32"/>
    <w:qFormat/>
    <w:rsid w:val="008E1DD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cioteca.caf.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3BC0E-EB31-407A-BA96-16EC8075A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19</Pages>
  <Words>6824</Words>
  <Characters>37532</Characters>
  <Application>Microsoft Office Word</Application>
  <DocSecurity>0</DocSecurity>
  <Lines>312</Lines>
  <Paragraphs>88</Paragraphs>
  <ScaleCrop>false</ScaleCrop>
  <Company/>
  <LinksUpToDate>false</LinksUpToDate>
  <CharactersWithSpaces>44268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Forero</dc:creator>
  <cp:keywords/>
  <dc:description/>
  <cp:lastModifiedBy>Carlos Forero</cp:lastModifiedBy>
  <cp:revision>38</cp:revision>
  <dcterms:created xsi:type="dcterms:W3CDTF">2026-07-20T16:56:00Z</dcterms:created>
  <dcterms:modified xsi:type="dcterms:W3CDTF">2026-07-20T20:15:00Z</dcterms:modified>
</cp:coreProperties>
</file>