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5E65E" w14:textId="5834CFA2" w:rsidR="00AD3B76" w:rsidRPr="00C26824" w:rsidRDefault="00AD3B76" w:rsidP="00EC070D">
      <w:pPr>
        <w:spacing w:before="100" w:beforeAutospacing="1" w:after="100" w:afterAutospacing="1" w:line="240" w:lineRule="auto"/>
        <w:jc w:val="both"/>
        <w:outlineLvl w:val="0"/>
        <w:rPr>
          <w:rFonts w:eastAsia="Times New Roman" w:cs="Times New Roman"/>
          <w:b/>
          <w:bCs/>
          <w:kern w:val="36"/>
          <w:lang w:eastAsia="es-CO"/>
          <w14:ligatures w14:val="none"/>
        </w:rPr>
      </w:pPr>
    </w:p>
    <w:p w14:paraId="30C35BE5"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b/>
          <w:bCs/>
          <w:kern w:val="0"/>
          <w:lang w:eastAsia="es-CO"/>
          <w14:ligatures w14:val="none"/>
        </w:rPr>
        <w:t>Análisis crítico constructivo de las estrategias, programas, proyectos y acciones del Banco Interamericano de Desarrollo (BID) en educación, educación superior, ciencia, tecnología e innovación en América Latina y el Caribe (2021–2026)</w:t>
      </w:r>
    </w:p>
    <w:p w14:paraId="51A93F6D"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Documento de análisis</w:t>
      </w:r>
    </w:p>
    <w:p w14:paraId="64F30D44"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Julio de 2026</w:t>
      </w:r>
    </w:p>
    <w:p w14:paraId="45E02C5B" w14:textId="77777777" w:rsidR="00AD3B76" w:rsidRPr="000D379D" w:rsidRDefault="00AD3B76"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Resumen Ejecutivo</w:t>
      </w:r>
    </w:p>
    <w:p w14:paraId="441279CC"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Durante los últimos cinco años, el Banco Interamericano de Desarrollo (BID) ha consolidado una agenda orientada a fortalecer el capital humano como uno de los pilares del desarrollo sostenible de América Latina y el Caribe. En un contexto marcado por los efectos de la pandemia de COVID-19, la aceleración de la transformación digital, la irrupción de la inteligencia artificial y la necesidad de aumentar la productividad regional, el BID ha impulsado una estrategia integral que articula educación, formación para el trabajo, educación superior, ciencia, tecnología e innovación (CTI).</w:t>
      </w:r>
    </w:p>
    <w:p w14:paraId="13D75FAD"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Las intervenciones del BID han evolucionado desde un enfoque tradicional centrado en la cobertura educativa hacia un modelo que privilegia la calidad del aprendizaje, la pertinencia de las competencias, la digitalización de los sistemas educativos, la innovación pedagógica, el fortalecimiento institucional y la vinculación entre educación, productividad e innovación. Esta transición refleja una comprensión más amplia del papel de la educación como motor del crecimiento económico, la inclusión social y la competitividad regional. </w:t>
      </w:r>
    </w:p>
    <w:p w14:paraId="487E3E26"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En educación superior, el Banco ha promovido reformas dirigidas a mejorar la calidad, la equidad en el acceso, la permanencia estudiantil, la gobernanza universitaria y la articulación entre universidades, sector productivo y sistemas nacionales de innovación. Paralelamente, ha incrementado el apoyo a la transformación digital de las instituciones de educación superior y al fortalecimiento de las capacidades para la investigación aplicada y el desarrollo tecnológico. </w:t>
      </w:r>
    </w:p>
    <w:p w14:paraId="2E230A87"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materia de ciencia, tecnología e innovación, el BID ha impulsado ecosistemas de innovación mediante financiamiento, asistencia técnica y generación de conocimiento, promoviendo la adopción de tecnologías emergentes, la transformación digital de los sectores productivos y el fortalecimiento de capacidades institucionales para enfrentar los desafíos de la cuarta revolución industrial.</w:t>
      </w:r>
    </w:p>
    <w:p w14:paraId="1157A4E7"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No obstante, el análisis crítico evidencia que persisten desafíos estructurales. Entre ellos destacan las profundas brechas territoriales y socioeconómicas en el acceso a una educación de calidad, la limitada inversión regional en investigación y desarrollo (I+D), la insuficiente articulación entre universidades y empresas, la heterogeneidad institucional de los sistemas de educación superior y las dificultades para escalar innovaciones exitosas hacia políticas públicas sostenibles.</w:t>
      </w:r>
    </w:p>
    <w:p w14:paraId="6A5DECCF"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Este documento analiza las principales estrategias, programas y proyectos implementados por el BID durante el período 2021–2026, identificando fortalezas, limitaciones y oportunidades de mejora, con el propósito de formular recomendaciones orientadas a fortalecer el impacto del Banco hacia el horizonte 2030.</w:t>
      </w:r>
    </w:p>
    <w:p w14:paraId="707F2D59" w14:textId="77777777" w:rsidR="00AD3B76" w:rsidRPr="000D379D" w:rsidRDefault="00AD3B76"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1. Introducción</w:t>
      </w:r>
    </w:p>
    <w:p w14:paraId="59FBA2A5"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América Latina y el Caribe enfrenta uno de los momentos más complejos de su historia reciente. Las consecuencias económicas y sociales derivadas de la pandemia coincidieron con profundas transformaciones tecnológicas que están modificando las formas de producir, aprender, investigar y generar innovación. En este escenario, el fortalecimiento del capital humano constituye una condición indispensable para incrementar la productividad, reducir las desigualdades y avanzar hacia modelos de desarrollo más inclusivos y sostenibles.</w:t>
      </w:r>
    </w:p>
    <w:p w14:paraId="259B82C3"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Los organismos multilaterales de desarrollo han adquirido un papel estratégico en este proceso. Entre ellos, el Banco Interamericano de Desarrollo ocupa una posición privilegiada como principal fuente regional de financiamiento y asistencia técnica para políticas públicas orientadas al desarrollo económico y social.</w:t>
      </w:r>
    </w:p>
    <w:p w14:paraId="59F43F1E"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Durante el período 2021–2026, el BID fortaleció significativamente su agenda educativa mediante un enfoque basado en tres principios fundamentales:</w:t>
      </w:r>
    </w:p>
    <w:p w14:paraId="0A26384B" w14:textId="77777777" w:rsidR="00AD3B76" w:rsidRPr="000D379D" w:rsidRDefault="00AD3B76" w:rsidP="00EC070D">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aprendizaje de calidad durante toda la vida; </w:t>
      </w:r>
    </w:p>
    <w:p w14:paraId="774A5947" w14:textId="77777777" w:rsidR="00AD3B76" w:rsidRPr="000D379D" w:rsidRDefault="00AD3B76" w:rsidP="00EC070D">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transformación digital e innovación educativa; </w:t>
      </w:r>
    </w:p>
    <w:p w14:paraId="7A4FF64B" w14:textId="77777777" w:rsidR="00AD3B76" w:rsidRPr="000D379D" w:rsidRDefault="00AD3B76" w:rsidP="00EC070D">
      <w:pPr>
        <w:numPr>
          <w:ilvl w:val="0"/>
          <w:numId w:val="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desarrollo de competencias para la economía del conocimiento. </w:t>
      </w:r>
    </w:p>
    <w:p w14:paraId="68A8A509"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Estas prioridades responden tanto a las secuelas de la crisis educativa ocasionada por la pandemia como a las nuevas demandas derivadas de la digitalización, la inteligencia artificial y la transición hacia economías intensivas en conocimiento. </w:t>
      </w:r>
    </w:p>
    <w:p w14:paraId="28D04BF9"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estrategia del Banco reconoce que mejorar únicamente la cobertura educativa resulta insuficiente para transformar las condiciones de desarrollo de la región. Es necesario fortalecer simultáneamente la calidad del aprendizaje, la pertinencia curricular, la investigación científica, la innovación tecnológica, la gobernanza institucional y la capacidad de adaptación permanente de las personas frente a mercados laborales cada vez más dinámicos.</w:t>
      </w:r>
    </w:p>
    <w:p w14:paraId="59FF530B"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Asimismo, el BID ha promovido una visión integrada que conecta la educación con la productividad, la competitividad empresarial, la sostenibilidad ambiental y la transformación digital, superando enfoques sectoriales tradicionales.</w:t>
      </w:r>
    </w:p>
    <w:p w14:paraId="3321A0B1"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presente análisis tiene como objetivo evaluar críticamente las estrategias, programas, proyectos y acciones desarrollados por el Banco durante los últimos cinco años, identificando sus principales contribuciones al desarrollo educativo y científico de América Latina y el Caribe, así como las limitaciones que aún restringen su impacto.</w:t>
      </w:r>
    </w:p>
    <w:p w14:paraId="28889DDD" w14:textId="77777777" w:rsidR="00AD3B76" w:rsidRPr="000D379D" w:rsidRDefault="00AD3B76"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2. Contexto regional: educación, educación superior, ciencia, tecnología e innovación (2021–2026)</w:t>
      </w:r>
    </w:p>
    <w:p w14:paraId="1C1CFD28" w14:textId="77777777" w:rsidR="00AD3B76" w:rsidRPr="000D379D" w:rsidRDefault="00AD3B76"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lastRenderedPageBreak/>
        <w:t>2.1 Una región con avances insuficientes</w:t>
      </w:r>
    </w:p>
    <w:p w14:paraId="1F28A127"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América Latina y el Caribe continúa siendo una de las regiones más desiguales del mundo. Aunque durante las últimas décadas se logró una importante expansión de la cobertura educativa, los resultados de aprendizaje permanecen rezagados frente a otras regiones y las diferencias entre países siguen siendo significativas.</w:t>
      </w:r>
    </w:p>
    <w:p w14:paraId="74BB22CA"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pandemia profundizó estas brechas. Millones de estudiantes experimentaron interrupciones prolongadas de su proceso educativo, incrementándose las pérdidas de aprendizaje, especialmente entre poblaciones vulnerables y zonas rurales.</w:t>
      </w:r>
    </w:p>
    <w:p w14:paraId="4A32A67A"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El BID ha señalado que la recuperación educativa exige no solo compensar dichas pérdidas, sino transformar estructuralmente los sistemas educativos mediante innovación pedagógica, digitalización y fortalecimiento institucional. </w:t>
      </w:r>
    </w:p>
    <w:p w14:paraId="17A08576" w14:textId="77777777" w:rsidR="00AD3B76" w:rsidRPr="000D379D" w:rsidRDefault="00AD3B76"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2.2 Transformación digital como prioridad</w:t>
      </w:r>
    </w:p>
    <w:p w14:paraId="042CC614"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Uno de los cambios más relevantes del período analizado ha sido la consolidación de la transformación digital como eje transversal de las políticas educativas.</w:t>
      </w:r>
    </w:p>
    <w:p w14:paraId="44B7A84F"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El BID ha promovido el concepto de </w:t>
      </w:r>
      <w:r w:rsidRPr="000D379D">
        <w:rPr>
          <w:rFonts w:eastAsia="Times New Roman" w:cs="Times New Roman"/>
          <w:b/>
          <w:bCs/>
          <w:kern w:val="0"/>
          <w:lang w:eastAsia="es-CO"/>
          <w14:ligatures w14:val="none"/>
        </w:rPr>
        <w:t>Educación 4.0</w:t>
      </w:r>
      <w:r w:rsidRPr="000D379D">
        <w:rPr>
          <w:rFonts w:eastAsia="Times New Roman" w:cs="Times New Roman"/>
          <w:kern w:val="0"/>
          <w:lang w:eastAsia="es-CO"/>
          <w14:ligatures w14:val="none"/>
        </w:rPr>
        <w:t>, entendida como un modelo educativo capaz de integrar tecnologías digitales, inteligencia artificial, analítica de datos, recursos educativos abiertos y nuevas metodologías centradas en el aprendizaje.</w:t>
      </w:r>
    </w:p>
    <w:p w14:paraId="54C0BDA2"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prioridades incluyen:</w:t>
      </w:r>
    </w:p>
    <w:p w14:paraId="0137CF04" w14:textId="77777777" w:rsidR="00AD3B76" w:rsidRPr="000D379D" w:rsidRDefault="00AD3B76" w:rsidP="00EC070D">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infraestructura digital; </w:t>
      </w:r>
    </w:p>
    <w:p w14:paraId="550D73CA" w14:textId="77777777" w:rsidR="00AD3B76" w:rsidRPr="000D379D" w:rsidRDefault="00AD3B76" w:rsidP="00EC070D">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conectividad escolar; </w:t>
      </w:r>
    </w:p>
    <w:p w14:paraId="001FF417" w14:textId="77777777" w:rsidR="00AD3B76" w:rsidRPr="000D379D" w:rsidRDefault="00AD3B76" w:rsidP="00EC070D">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plataformas virtuales; </w:t>
      </w:r>
    </w:p>
    <w:p w14:paraId="64E3BDEA" w14:textId="77777777" w:rsidR="00AD3B76" w:rsidRPr="000D379D" w:rsidRDefault="00AD3B76" w:rsidP="00EC070D">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desarrollo de competencias digitales docentes; </w:t>
      </w:r>
    </w:p>
    <w:p w14:paraId="0FF9B69E" w14:textId="77777777" w:rsidR="00AD3B76" w:rsidRPr="000D379D" w:rsidRDefault="00AD3B76" w:rsidP="00EC070D">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modernización de la gestión educativa; </w:t>
      </w:r>
    </w:p>
    <w:p w14:paraId="79DF8FE1" w14:textId="77777777" w:rsidR="00AD3B76" w:rsidRPr="000D379D" w:rsidRDefault="00AD3B76" w:rsidP="00EC070D">
      <w:pPr>
        <w:numPr>
          <w:ilvl w:val="0"/>
          <w:numId w:val="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incorporación responsable de inteligencia artificial. </w:t>
      </w:r>
    </w:p>
    <w:p w14:paraId="109FABB1"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Este enfoque busca que la tecnología deje de ser un recurso complementario para convertirse en un elemento estructural de la calidad educativa. </w:t>
      </w:r>
    </w:p>
    <w:p w14:paraId="51F7B3DF" w14:textId="77777777" w:rsidR="00AD3B76" w:rsidRPr="000D379D" w:rsidRDefault="00AD3B76"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2.3 Educación superior frente a nuevos desafíos</w:t>
      </w:r>
    </w:p>
    <w:p w14:paraId="26BC663A"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instituciones de educación superior atraviesan un proceso acelerado de transformación.</w:t>
      </w:r>
    </w:p>
    <w:p w14:paraId="24AA8E59"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universidades enfrentan simultáneamente varios desafíos:</w:t>
      </w:r>
    </w:p>
    <w:p w14:paraId="3E23A68D" w14:textId="77777777" w:rsidR="00AD3B76" w:rsidRPr="000D379D" w:rsidRDefault="00AD3B76" w:rsidP="00EC070D">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adaptación tecnológica; </w:t>
      </w:r>
    </w:p>
    <w:p w14:paraId="78B94E3B" w14:textId="77777777" w:rsidR="00AD3B76" w:rsidRPr="000D379D" w:rsidRDefault="00AD3B76" w:rsidP="00EC070D">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nuevas modalidades híbridas; </w:t>
      </w:r>
    </w:p>
    <w:p w14:paraId="77FB138F" w14:textId="77777777" w:rsidR="00AD3B76" w:rsidRPr="000D379D" w:rsidRDefault="00AD3B76" w:rsidP="00EC070D">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internacionalización; </w:t>
      </w:r>
    </w:p>
    <w:p w14:paraId="762A44F7" w14:textId="77777777" w:rsidR="00AD3B76" w:rsidRPr="000D379D" w:rsidRDefault="00AD3B76" w:rsidP="00EC070D">
      <w:pPr>
        <w:numPr>
          <w:ilvl w:val="0"/>
          <w:numId w:val="3"/>
        </w:numPr>
        <w:spacing w:before="100" w:beforeAutospacing="1" w:after="100" w:afterAutospacing="1" w:line="240" w:lineRule="auto"/>
        <w:jc w:val="both"/>
        <w:rPr>
          <w:rFonts w:eastAsia="Times New Roman" w:cs="Times New Roman"/>
          <w:kern w:val="0"/>
          <w:lang w:eastAsia="es-CO"/>
          <w14:ligatures w14:val="none"/>
        </w:rPr>
      </w:pPr>
      <w:proofErr w:type="spellStart"/>
      <w:r w:rsidRPr="000D379D">
        <w:rPr>
          <w:rFonts w:eastAsia="Times New Roman" w:cs="Times New Roman"/>
          <w:kern w:val="0"/>
          <w:lang w:eastAsia="es-CO"/>
          <w14:ligatures w14:val="none"/>
        </w:rPr>
        <w:t>microcredenciales</w:t>
      </w:r>
      <w:proofErr w:type="spellEnd"/>
      <w:r w:rsidRPr="000D379D">
        <w:rPr>
          <w:rFonts w:eastAsia="Times New Roman" w:cs="Times New Roman"/>
          <w:kern w:val="0"/>
          <w:lang w:eastAsia="es-CO"/>
          <w14:ligatures w14:val="none"/>
        </w:rPr>
        <w:t xml:space="preserve">; </w:t>
      </w:r>
    </w:p>
    <w:p w14:paraId="4EA4A6D9" w14:textId="77777777" w:rsidR="00AD3B76" w:rsidRPr="000D379D" w:rsidRDefault="00AD3B76" w:rsidP="00EC070D">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educación continua; </w:t>
      </w:r>
    </w:p>
    <w:p w14:paraId="1DA1BB0F" w14:textId="77777777" w:rsidR="00AD3B76" w:rsidRPr="000D379D" w:rsidRDefault="00AD3B76" w:rsidP="00EC070D">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 xml:space="preserve">formación basada en competencias; </w:t>
      </w:r>
    </w:p>
    <w:p w14:paraId="6091FB53" w14:textId="77777777" w:rsidR="00AD3B76" w:rsidRPr="000D379D" w:rsidRDefault="00AD3B76" w:rsidP="00EC070D">
      <w:pPr>
        <w:numPr>
          <w:ilvl w:val="0"/>
          <w:numId w:val="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vinculación con los sistemas nacionales de innovación. </w:t>
      </w:r>
    </w:p>
    <w:p w14:paraId="5B6386ED"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El BID reconoce que las universidades deberán convertirse en actores centrales de la economía del conocimiento mediante una mayor articulación con el sector productivo, el fortalecimiento de la investigación aplicada y el desarrollo de ecosistemas regionales de innovación. </w:t>
      </w:r>
    </w:p>
    <w:p w14:paraId="61ED01F7" w14:textId="77777777" w:rsidR="00AD3B76" w:rsidRPr="000D379D" w:rsidRDefault="00AD3B76"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2.4 Ciencia, tecnología e innovación como motores del desarrollo</w:t>
      </w:r>
    </w:p>
    <w:p w14:paraId="5C714E46"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Uno de los principales obstáculos para el desarrollo regional continúa siendo la baja inversión en investigación, desarrollo e innovación.</w:t>
      </w:r>
    </w:p>
    <w:p w14:paraId="01D4C2B4"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términos generales, América Latina invierte una proporción significativamente menor de su PIB en I+D que las economías más avanzadas, lo que limita la generación de conocimiento, la transferencia tecnológica y la competitividad internacional.</w:t>
      </w:r>
    </w:p>
    <w:p w14:paraId="5A3E1CC0"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Frente a este escenario, el BID ha fortalecido su apoyo a políticas de innovación mediante programas dirigidos a:</w:t>
      </w:r>
    </w:p>
    <w:p w14:paraId="1BE1D5C9" w14:textId="77777777" w:rsidR="00AD3B76" w:rsidRPr="000D379D" w:rsidRDefault="00AD3B76" w:rsidP="00EC070D">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institucional; </w:t>
      </w:r>
    </w:p>
    <w:p w14:paraId="41D336F1" w14:textId="77777777" w:rsidR="00AD3B76" w:rsidRPr="000D379D" w:rsidRDefault="00AD3B76" w:rsidP="00EC070D">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financiamiento de emprendimientos tecnológicos; </w:t>
      </w:r>
    </w:p>
    <w:p w14:paraId="5EEF9ADC" w14:textId="77777777" w:rsidR="00AD3B76" w:rsidRPr="000D379D" w:rsidRDefault="00AD3B76" w:rsidP="00EC070D">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innovación empresarial; </w:t>
      </w:r>
    </w:p>
    <w:p w14:paraId="2914C590" w14:textId="77777777" w:rsidR="00AD3B76" w:rsidRPr="000D379D" w:rsidRDefault="00AD3B76" w:rsidP="00EC070D">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transformación digital del sector productivo; </w:t>
      </w:r>
    </w:p>
    <w:p w14:paraId="1CEBDE69" w14:textId="77777777" w:rsidR="00AD3B76" w:rsidRPr="000D379D" w:rsidRDefault="00AD3B76" w:rsidP="00EC070D">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desarrollo de talento científico; </w:t>
      </w:r>
    </w:p>
    <w:p w14:paraId="1FC0255C" w14:textId="77777777" w:rsidR="00AD3B76" w:rsidRPr="000D379D" w:rsidRDefault="00AD3B76" w:rsidP="00EC070D">
      <w:pPr>
        <w:numPr>
          <w:ilvl w:val="0"/>
          <w:numId w:val="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cooperación internacional. </w:t>
      </w:r>
    </w:p>
    <w:p w14:paraId="2965EB47"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Estas iniciativas buscan construir ecosistemas más dinámicos de innovación que articulen gobiernos, universidades, empresas y centros de investigación.</w:t>
      </w:r>
    </w:p>
    <w:p w14:paraId="0078AA4A" w14:textId="77777777" w:rsidR="00AD3B76" w:rsidRPr="000D379D" w:rsidRDefault="00AD3B76"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2.5 Un cambio de paradigma</w:t>
      </w:r>
    </w:p>
    <w:p w14:paraId="302999FF"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Quizá el cambio más significativo observado durante los últimos cinco años es el tránsito desde una visión tradicional de la educación como política social hacia una concepción que la entiende como una política estratégica de desarrollo económico.</w:t>
      </w:r>
    </w:p>
    <w:p w14:paraId="47059F8F"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Esta perspectiva reconoce que el crecimiento sostenible depende, en gran medida, de la capacidad de los países para generar conocimiento, desarrollar innovación, formar talento altamente calificado y adaptarse rápidamente a los cambios tecnológicos.</w:t>
      </w:r>
    </w:p>
    <w:p w14:paraId="3DC700B6" w14:textId="77777777" w:rsidR="00AD3B76" w:rsidRPr="000D379D" w:rsidRDefault="00AD3B76"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En consecuencia, el BID ha orientado progresivamente sus intervenciones hacia el fortalecimiento del capital humano, las competencias para el siglo XXI y la construcción de economías basadas en el conocimiento, en línea con las necesidades de la región. </w:t>
      </w:r>
    </w:p>
    <w:p w14:paraId="6F9B5A0E" w14:textId="77777777" w:rsidR="009F7FF0" w:rsidRPr="000D379D" w:rsidRDefault="009F7FF0"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Capítulo 3. Estrategias institucionales del BID (2021–2026)</w:t>
      </w:r>
    </w:p>
    <w:p w14:paraId="212C5BE1"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lastRenderedPageBreak/>
        <w:t>3. Estrategias institucionales del BID para fortalecer la educación, la educación superior, la ciencia, la tecnología y la innovación</w:t>
      </w:r>
    </w:p>
    <w:p w14:paraId="3DCD9005"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Durante el período 2021–2026, el Banco Interamericano de Desarrollo (BID) consolidó una estrategia orientada a fortalecer el capital humano como condición esencial para mejorar la productividad, reducir las desigualdades y acelerar el desarrollo sostenible de América Latina y el Caribe. Este enfoque se produjo en un contexto caracterizado por la recuperación posterior a la pandemia, la aceleración de la transformación digital, la emergencia de la inteligencia artificial generativa y la necesidad de modernizar las capacidades institucionales de los países de la región.</w:t>
      </w:r>
    </w:p>
    <w:p w14:paraId="121ADC06"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 diferencia de enfoques anteriores, centrados principalmente en ampliar la cobertura educativa, el BID evolucionó hacia una visión más integral, en la que la calidad del aprendizaje, la pertinencia de la formación, la innovación tecnológica y el fortalecimiento institucional son elementos interdependientes para impulsar el crecimiento económico y la inclusión social.</w:t>
      </w:r>
    </w:p>
    <w:p w14:paraId="21BFC1AE"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3.1 Evolución de la estrategia institucional</w:t>
      </w:r>
    </w:p>
    <w:p w14:paraId="547606FA"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prioridades institucionales del BID durante este período pueden agruparse en cinco ejes estratégicos:</w:t>
      </w:r>
    </w:p>
    <w:p w14:paraId="4EF68BB2" w14:textId="77777777" w:rsidR="009F7FF0" w:rsidRPr="000D379D" w:rsidRDefault="009F7FF0" w:rsidP="00EC070D">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Mejorar la calidad del aprendizaje. </w:t>
      </w:r>
    </w:p>
    <w:p w14:paraId="635A1490" w14:textId="77777777" w:rsidR="009F7FF0" w:rsidRPr="000D379D" w:rsidRDefault="009F7FF0" w:rsidP="00EC070D">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Reducir las brechas de equidad y acceso. </w:t>
      </w:r>
    </w:p>
    <w:p w14:paraId="11D3BD8B" w14:textId="77777777" w:rsidR="009F7FF0" w:rsidRPr="000D379D" w:rsidRDefault="009F7FF0" w:rsidP="00EC070D">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Impulsar la transformación digital de los sistemas educativos. </w:t>
      </w:r>
    </w:p>
    <w:p w14:paraId="031B4030" w14:textId="77777777" w:rsidR="009F7FF0" w:rsidRPr="000D379D" w:rsidRDefault="009F7FF0" w:rsidP="00EC070D">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Fortalecer los ecosistemas de ciencia, tecnología e innovación. </w:t>
      </w:r>
    </w:p>
    <w:p w14:paraId="477A17E0" w14:textId="77777777" w:rsidR="009F7FF0" w:rsidRPr="000D379D" w:rsidRDefault="009F7FF0" w:rsidP="00EC070D">
      <w:pPr>
        <w:numPr>
          <w:ilvl w:val="0"/>
          <w:numId w:val="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Promover la formación de talento para la economía del conocimiento. </w:t>
      </w:r>
    </w:p>
    <w:p w14:paraId="31F2CD30"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Estos ejes se reflejan en operaciones de préstamo, cooperación técnica, generación de conocimiento y asistencia para el diseño e implementación de políticas públicas.</w:t>
      </w:r>
    </w:p>
    <w:p w14:paraId="4AB668A1"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Un rasgo distintivo ha sido la incorporación de evidencia empírica y análisis de datos en la formulación de intervenciones, promoviendo decisiones basadas en resultados y mecanismos de evaluación más robustos.</w:t>
      </w:r>
    </w:p>
    <w:p w14:paraId="5F4531F7"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3.2 Educación como motor del desarrollo</w:t>
      </w:r>
    </w:p>
    <w:p w14:paraId="7C9AAE2A"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plantea que la educación debe concebirse como una inversión estratégica y no únicamente como un componente del gasto social. Bajo esta perspectiva, la mejora de los sistemas educativos tiene efectos directos sobre la productividad, la innovación, la competitividad y la cohesión social.</w:t>
      </w:r>
    </w:p>
    <w:p w14:paraId="55186E81"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líneas de acción incluyen:</w:t>
      </w:r>
    </w:p>
    <w:p w14:paraId="25541E69" w14:textId="77777777" w:rsidR="009F7FF0" w:rsidRPr="000D379D" w:rsidRDefault="009F7FF0" w:rsidP="00EC070D">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la educación inicial; </w:t>
      </w:r>
    </w:p>
    <w:p w14:paraId="271F69ED" w14:textId="77777777" w:rsidR="009F7FF0" w:rsidRPr="000D379D" w:rsidRDefault="009F7FF0" w:rsidP="00EC070D">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recuperación de aprendizajes afectados por la pandemia; </w:t>
      </w:r>
    </w:p>
    <w:p w14:paraId="7B2F8362" w14:textId="77777777" w:rsidR="009F7FF0" w:rsidRPr="000D379D" w:rsidRDefault="009F7FF0" w:rsidP="00EC070D">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mejora de la calidad docente; </w:t>
      </w:r>
    </w:p>
    <w:p w14:paraId="68D04215" w14:textId="77777777" w:rsidR="009F7FF0" w:rsidRPr="000D379D" w:rsidRDefault="009F7FF0" w:rsidP="00EC070D">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actualización curricular; </w:t>
      </w:r>
    </w:p>
    <w:p w14:paraId="188406A8" w14:textId="77777777" w:rsidR="009F7FF0" w:rsidRPr="000D379D" w:rsidRDefault="009F7FF0" w:rsidP="00EC070D">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 xml:space="preserve">desarrollo de competencias del siglo XXI; </w:t>
      </w:r>
    </w:p>
    <w:p w14:paraId="1C002B82" w14:textId="77777777" w:rsidR="009F7FF0" w:rsidRPr="000D379D" w:rsidRDefault="009F7FF0" w:rsidP="00EC070D">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evaluación de aprendizajes; </w:t>
      </w:r>
    </w:p>
    <w:p w14:paraId="4D91D0D9" w14:textId="77777777" w:rsidR="009F7FF0" w:rsidRPr="000D379D" w:rsidRDefault="009F7FF0" w:rsidP="00EC070D">
      <w:pPr>
        <w:numPr>
          <w:ilvl w:val="0"/>
          <w:numId w:val="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la gestión educativa. </w:t>
      </w:r>
    </w:p>
    <w:p w14:paraId="6E05FEA1"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Banco también ha promovido la incorporación de habilidades transversales, como el pensamiento crítico, la resolución de problemas, la creatividad, la colaboración y las competencias socioemocionales, reconociendo su relevancia para la empleabilidad y la ciudadanía.</w:t>
      </w:r>
    </w:p>
    <w:p w14:paraId="489C08B5"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3.3 Transformación digital de la educación</w:t>
      </w:r>
    </w:p>
    <w:p w14:paraId="2506E019"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Uno de los pilares más visibles de la estrategia del BID ha sido la transformación digital de los sistemas educativos.</w:t>
      </w:r>
    </w:p>
    <w:p w14:paraId="13CFD87B"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experiencia de la pandemia evidenció las limitaciones de infraestructura tecnológica, conectividad y competencias digitales en numerosos países. Como respuesta, el BID impulsó iniciativas para:</w:t>
      </w:r>
    </w:p>
    <w:p w14:paraId="27B09F68" w14:textId="77777777" w:rsidR="009F7FF0" w:rsidRPr="000D379D" w:rsidRDefault="009F7FF0" w:rsidP="00EC070D">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ampliar la conectividad de instituciones educativas; </w:t>
      </w:r>
    </w:p>
    <w:p w14:paraId="3DE01F84" w14:textId="77777777" w:rsidR="009F7FF0" w:rsidRPr="000D379D" w:rsidRDefault="009F7FF0" w:rsidP="00EC070D">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fortalecer plataformas digitales de aprendizaje; </w:t>
      </w:r>
    </w:p>
    <w:p w14:paraId="5A25D069" w14:textId="77777777" w:rsidR="009F7FF0" w:rsidRPr="000D379D" w:rsidRDefault="009F7FF0" w:rsidP="00EC070D">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desarrollar recursos educativos abiertos; </w:t>
      </w:r>
    </w:p>
    <w:p w14:paraId="77B93497" w14:textId="77777777" w:rsidR="009F7FF0" w:rsidRPr="000D379D" w:rsidRDefault="009F7FF0" w:rsidP="00EC070D">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promover modelos híbridos de enseñanza; </w:t>
      </w:r>
    </w:p>
    <w:p w14:paraId="17238D01" w14:textId="77777777" w:rsidR="009F7FF0" w:rsidRPr="000D379D" w:rsidRDefault="009F7FF0" w:rsidP="00EC070D">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capacitar docentes en competencias digitales; </w:t>
      </w:r>
    </w:p>
    <w:p w14:paraId="49E5147D" w14:textId="77777777" w:rsidR="009F7FF0" w:rsidRPr="000D379D" w:rsidRDefault="009F7FF0" w:rsidP="00EC070D">
      <w:pPr>
        <w:numPr>
          <w:ilvl w:val="0"/>
          <w:numId w:val="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modernizar los sistemas de información y gestión educativa. </w:t>
      </w:r>
    </w:p>
    <w:p w14:paraId="744FD0EE"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Además, el Banco comenzó a explorar el uso de inteligencia artificial, analítica de aprendizaje y herramientas digitales avanzadas para personalizar procesos educativos y mejorar la toma de decisiones basada en datos.</w:t>
      </w:r>
    </w:p>
    <w:p w14:paraId="350F2C47" w14:textId="77777777" w:rsidR="009F7FF0" w:rsidRPr="000D379D" w:rsidRDefault="009F7FF0"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22227656"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énfasis en la digitalización representa un avance significativo; sin embargo, su efectividad depende de condiciones estructurales que aún presentan importantes rezagos en varios países, especialmente en zonas rurales y comunidades vulnerables. La tecnología, por sí sola, no garantiza mejores resultados educativos si no se acompaña de formación docente, contenidos de calidad y políticas de inclusión digital.</w:t>
      </w:r>
    </w:p>
    <w:p w14:paraId="0C7673E2"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3.4 Estrategia para la educación superior</w:t>
      </w:r>
    </w:p>
    <w:p w14:paraId="374862D8"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educación superior, el BID ha promovido una agenda que trasciende el aumento de la cobertura y pone énfasis en la calidad, la pertinencia y la capacidad de las instituciones para responder a los desafíos del desarrollo.</w:t>
      </w:r>
    </w:p>
    <w:p w14:paraId="6F04C5B8"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principales líneas de acción comprenden:</w:t>
      </w:r>
    </w:p>
    <w:p w14:paraId="2522081A" w14:textId="77777777" w:rsidR="009F7FF0" w:rsidRPr="000D379D" w:rsidRDefault="009F7FF0" w:rsidP="00EC070D">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institucional de universidades; </w:t>
      </w:r>
    </w:p>
    <w:p w14:paraId="259D826C" w14:textId="77777777" w:rsidR="009F7FF0" w:rsidRPr="000D379D" w:rsidRDefault="009F7FF0" w:rsidP="00EC070D">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aseguramiento y evaluación de la calidad; </w:t>
      </w:r>
    </w:p>
    <w:p w14:paraId="26A12CD2" w14:textId="77777777" w:rsidR="009F7FF0" w:rsidRPr="000D379D" w:rsidRDefault="009F7FF0" w:rsidP="00EC070D">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 xml:space="preserve">transformación digital universitaria; </w:t>
      </w:r>
    </w:p>
    <w:p w14:paraId="104147FD" w14:textId="77777777" w:rsidR="009F7FF0" w:rsidRPr="000D379D" w:rsidRDefault="009F7FF0" w:rsidP="00EC070D">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internacionalización; </w:t>
      </w:r>
    </w:p>
    <w:p w14:paraId="33736444" w14:textId="77777777" w:rsidR="009F7FF0" w:rsidRPr="000D379D" w:rsidRDefault="009F7FF0" w:rsidP="00EC070D">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investigación aplicada; </w:t>
      </w:r>
    </w:p>
    <w:p w14:paraId="6CDA56BF" w14:textId="77777777" w:rsidR="009F7FF0" w:rsidRPr="000D379D" w:rsidRDefault="009F7FF0" w:rsidP="00EC070D">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vinculación universidad–empresa; </w:t>
      </w:r>
    </w:p>
    <w:p w14:paraId="0F3ED99F" w14:textId="77777777" w:rsidR="009F7FF0" w:rsidRPr="000D379D" w:rsidRDefault="009F7FF0" w:rsidP="00EC070D">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educación continua y aprendizaje a lo largo de la vida; </w:t>
      </w:r>
    </w:p>
    <w:p w14:paraId="792F6287" w14:textId="77777777" w:rsidR="009F7FF0" w:rsidRPr="000D379D" w:rsidRDefault="009F7FF0" w:rsidP="00EC070D">
      <w:pPr>
        <w:numPr>
          <w:ilvl w:val="0"/>
          <w:numId w:val="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desarrollo de </w:t>
      </w:r>
      <w:proofErr w:type="spellStart"/>
      <w:r w:rsidRPr="000D379D">
        <w:rPr>
          <w:rFonts w:eastAsia="Times New Roman" w:cs="Times New Roman"/>
          <w:kern w:val="0"/>
          <w:lang w:eastAsia="es-CO"/>
          <w14:ligatures w14:val="none"/>
        </w:rPr>
        <w:t>microcredenciales</w:t>
      </w:r>
      <w:proofErr w:type="spellEnd"/>
      <w:r w:rsidRPr="000D379D">
        <w:rPr>
          <w:rFonts w:eastAsia="Times New Roman" w:cs="Times New Roman"/>
          <w:kern w:val="0"/>
          <w:lang w:eastAsia="es-CO"/>
          <w14:ligatures w14:val="none"/>
        </w:rPr>
        <w:t xml:space="preserve"> y certificaciones flexibles. </w:t>
      </w:r>
    </w:p>
    <w:p w14:paraId="29E3D6F8"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Banco considera que las universidades deben desempeñar un papel más activo en la generación de conocimiento, la innovación tecnológica y la formación de talento para sectores estratégicos.</w:t>
      </w:r>
    </w:p>
    <w:p w14:paraId="24BAC0BC" w14:textId="77777777" w:rsidR="009F7FF0" w:rsidRPr="000D379D" w:rsidRDefault="009F7FF0"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2B80C191"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Si bien la estrategia reconoce la importancia de la educación superior como motor de innovación, aún existen desafíos relacionados con la heterogeneidad institucional de las universidades de la región. Las capacidades para implementar transformaciones digitales, fortalecer la investigación o desarrollar alianzas con el sector productivo varían considerablemente entre países e incluso entre instituciones de un mismo sistema.</w:t>
      </w:r>
    </w:p>
    <w:p w14:paraId="4C8DBA06"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3.5 Ciencia, tecnología e innovación (CTI)</w:t>
      </w:r>
    </w:p>
    <w:p w14:paraId="742655EA"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el ámbito de la CTI, el BID ha orientado sus esfuerzos hacia el fortalecimiento de ecosistemas nacionales y regionales de innovación.</w:t>
      </w:r>
    </w:p>
    <w:p w14:paraId="7DBAD4C3"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acciones impulsadas incluyen:</w:t>
      </w:r>
    </w:p>
    <w:p w14:paraId="03812645" w14:textId="77777777" w:rsidR="009F7FF0" w:rsidRPr="000D379D" w:rsidRDefault="009F7FF0" w:rsidP="00EC070D">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agencias nacionales de innovación; </w:t>
      </w:r>
    </w:p>
    <w:p w14:paraId="0CA5C810" w14:textId="77777777" w:rsidR="009F7FF0" w:rsidRPr="000D379D" w:rsidRDefault="009F7FF0" w:rsidP="00EC070D">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financiamiento para investigación aplicada; </w:t>
      </w:r>
    </w:p>
    <w:p w14:paraId="4EF8BA9E" w14:textId="77777777" w:rsidR="009F7FF0" w:rsidRPr="000D379D" w:rsidRDefault="009F7FF0" w:rsidP="00EC070D">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apoyo a emprendimientos tecnológicos; </w:t>
      </w:r>
    </w:p>
    <w:p w14:paraId="371C3111" w14:textId="77777777" w:rsidR="009F7FF0" w:rsidRPr="000D379D" w:rsidRDefault="009F7FF0" w:rsidP="00EC070D">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promoción de la transferencia tecnológica; </w:t>
      </w:r>
    </w:p>
    <w:p w14:paraId="4F9321B5" w14:textId="77777777" w:rsidR="009F7FF0" w:rsidRPr="000D379D" w:rsidRDefault="009F7FF0" w:rsidP="00EC070D">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parques científicos y tecnológicos; </w:t>
      </w:r>
    </w:p>
    <w:p w14:paraId="5A80EFFF" w14:textId="77777777" w:rsidR="009F7FF0" w:rsidRPr="000D379D" w:rsidRDefault="009F7FF0" w:rsidP="00EC070D">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impulso a la economía digital; </w:t>
      </w:r>
    </w:p>
    <w:p w14:paraId="1F840246" w14:textId="77777777" w:rsidR="009F7FF0" w:rsidRPr="000D379D" w:rsidRDefault="009F7FF0" w:rsidP="00EC070D">
      <w:pPr>
        <w:numPr>
          <w:ilvl w:val="0"/>
          <w:numId w:val="1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innovación empresarial. </w:t>
      </w:r>
    </w:p>
    <w:p w14:paraId="2657FBD7"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estrategia parte del reconocimiento de que el crecimiento económico sostenible requiere aumentar la capacidad de generar conocimiento y convertirlo en innovación con impacto productivo y social.</w:t>
      </w:r>
    </w:p>
    <w:p w14:paraId="18653ABA" w14:textId="77777777" w:rsidR="009F7FF0" w:rsidRPr="000D379D" w:rsidRDefault="009F7FF0"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7E8AC051"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orientación hacia ecosistemas de innovación constituye una fortaleza de la estrategia del BID. Sin embargo, persisten limitaciones derivadas de la baja inversión regional en investigación y desarrollo, la fragmentación institucional y la escasa interacción entre universidades, empresas y gobiernos. Estos factores reducen la capacidad de transformar el conocimiento científico en innovación de alto impacto.</w:t>
      </w:r>
    </w:p>
    <w:p w14:paraId="389C8FA6"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3.6 Formación para la economía del conocimiento</w:t>
      </w:r>
    </w:p>
    <w:p w14:paraId="693F9E61"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El Banco ha incorporado una visión de aprendizaje permanente, orientada a responder a las transformaciones del mercado laboral derivadas de la automatización, la digitalización y la inteligencia artificial.</w:t>
      </w:r>
    </w:p>
    <w:p w14:paraId="48ABEF97"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prioridades incluyen el fortalecimiento de competencias en:</w:t>
      </w:r>
    </w:p>
    <w:p w14:paraId="07135378"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ciencia; </w:t>
      </w:r>
    </w:p>
    <w:p w14:paraId="0B75CD62"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tecnología; </w:t>
      </w:r>
    </w:p>
    <w:p w14:paraId="4154D137"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ingeniería; </w:t>
      </w:r>
    </w:p>
    <w:p w14:paraId="6DEAEFB0"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matemáticas (STEM); </w:t>
      </w:r>
    </w:p>
    <w:p w14:paraId="68FA226E"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programación; </w:t>
      </w:r>
    </w:p>
    <w:p w14:paraId="5F07BA97"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análisis de datos; </w:t>
      </w:r>
    </w:p>
    <w:p w14:paraId="468E0A86"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inteligencia artificial; </w:t>
      </w:r>
    </w:p>
    <w:p w14:paraId="52367E16"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ciberseguridad; </w:t>
      </w:r>
    </w:p>
    <w:p w14:paraId="0F8FEFCE"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habilidades digitales avanzadas; </w:t>
      </w:r>
    </w:p>
    <w:p w14:paraId="1FEF7533" w14:textId="77777777" w:rsidR="009F7FF0" w:rsidRPr="000D379D" w:rsidRDefault="009F7FF0" w:rsidP="00EC070D">
      <w:pPr>
        <w:numPr>
          <w:ilvl w:val="0"/>
          <w:numId w:val="1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competencias socioemocionales. </w:t>
      </w:r>
    </w:p>
    <w:p w14:paraId="406FE451"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Asimismo, el BID ha promovido programas de reconversión laboral y actualización profesional para facilitar la adaptación de trabajadores a nuevas ocupaciones.</w:t>
      </w:r>
    </w:p>
    <w:p w14:paraId="1F96D982" w14:textId="77777777" w:rsidR="009F7FF0" w:rsidRPr="000D379D" w:rsidRDefault="009F7FF0"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79232125"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apuesta por el aprendizaje permanente es pertinente frente a la velocidad del cambio tecnológico. No obstante, requiere una mayor articulación con los sistemas nacionales de formación para el trabajo y con políticas de empleo que permitan absorber efectivamente el talento formado.</w:t>
      </w:r>
    </w:p>
    <w:p w14:paraId="5D72E84E"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3.7 Alineación con la Agenda 2030 y los Objetivos de Desarrollo Sostenible</w:t>
      </w:r>
    </w:p>
    <w:p w14:paraId="1C46EDAD"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estrategias del BID se alinean de manera transversal con los Objetivos de Desarrollo Sostenible (ODS), especialmente: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5"/>
        <w:gridCol w:w="5890"/>
      </w:tblGrid>
      <w:tr w:rsidR="009F7FF0" w:rsidRPr="000D379D" w14:paraId="494078E5" w14:textId="77777777">
        <w:trPr>
          <w:tblHeader/>
          <w:tblCellSpacing w:w="15" w:type="dxa"/>
        </w:trPr>
        <w:tc>
          <w:tcPr>
            <w:tcW w:w="0" w:type="auto"/>
            <w:vAlign w:val="center"/>
            <w:hideMark/>
          </w:tcPr>
          <w:p w14:paraId="6818CA8E" w14:textId="77777777" w:rsidR="009F7FF0" w:rsidRPr="000D379D" w:rsidRDefault="009F7FF0"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ODS</w:t>
            </w:r>
          </w:p>
        </w:tc>
        <w:tc>
          <w:tcPr>
            <w:tcW w:w="0" w:type="auto"/>
            <w:vAlign w:val="center"/>
            <w:hideMark/>
          </w:tcPr>
          <w:p w14:paraId="1A1F9915" w14:textId="77777777" w:rsidR="009F7FF0" w:rsidRPr="000D379D" w:rsidRDefault="009F7FF0"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Relación con la estrategia del BID</w:t>
            </w:r>
          </w:p>
        </w:tc>
      </w:tr>
      <w:tr w:rsidR="009F7FF0" w:rsidRPr="000D379D" w14:paraId="79A29753" w14:textId="77777777">
        <w:trPr>
          <w:tblCellSpacing w:w="15" w:type="dxa"/>
        </w:trPr>
        <w:tc>
          <w:tcPr>
            <w:tcW w:w="0" w:type="auto"/>
            <w:vAlign w:val="center"/>
            <w:hideMark/>
          </w:tcPr>
          <w:p w14:paraId="496AC0DB"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b/>
                <w:bCs/>
                <w:kern w:val="0"/>
                <w:lang w:eastAsia="es-CO"/>
                <w14:ligatures w14:val="none"/>
              </w:rPr>
              <w:t>ODS 4</w:t>
            </w:r>
          </w:p>
        </w:tc>
        <w:tc>
          <w:tcPr>
            <w:tcW w:w="0" w:type="auto"/>
            <w:vAlign w:val="center"/>
            <w:hideMark/>
          </w:tcPr>
          <w:p w14:paraId="1F757F55"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Educación inclusiva, equitativa y de calidad</w:t>
            </w:r>
          </w:p>
        </w:tc>
      </w:tr>
      <w:tr w:rsidR="009F7FF0" w:rsidRPr="000D379D" w14:paraId="2049AF12" w14:textId="77777777">
        <w:trPr>
          <w:tblCellSpacing w:w="15" w:type="dxa"/>
        </w:trPr>
        <w:tc>
          <w:tcPr>
            <w:tcW w:w="0" w:type="auto"/>
            <w:vAlign w:val="center"/>
            <w:hideMark/>
          </w:tcPr>
          <w:p w14:paraId="6D9434E0"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b/>
                <w:bCs/>
                <w:kern w:val="0"/>
                <w:lang w:eastAsia="es-CO"/>
                <w14:ligatures w14:val="none"/>
              </w:rPr>
              <w:t>ODS 5</w:t>
            </w:r>
          </w:p>
        </w:tc>
        <w:tc>
          <w:tcPr>
            <w:tcW w:w="0" w:type="auto"/>
            <w:vAlign w:val="center"/>
            <w:hideMark/>
          </w:tcPr>
          <w:p w14:paraId="69BD5A9A"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Igualdad de género en el acceso a educación y carreras STEM</w:t>
            </w:r>
          </w:p>
        </w:tc>
      </w:tr>
      <w:tr w:rsidR="009F7FF0" w:rsidRPr="000D379D" w14:paraId="3BED4BE4" w14:textId="77777777">
        <w:trPr>
          <w:tblCellSpacing w:w="15" w:type="dxa"/>
        </w:trPr>
        <w:tc>
          <w:tcPr>
            <w:tcW w:w="0" w:type="auto"/>
            <w:vAlign w:val="center"/>
            <w:hideMark/>
          </w:tcPr>
          <w:p w14:paraId="45CE194F"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b/>
                <w:bCs/>
                <w:kern w:val="0"/>
                <w:lang w:eastAsia="es-CO"/>
                <w14:ligatures w14:val="none"/>
              </w:rPr>
              <w:t>ODS 8</w:t>
            </w:r>
          </w:p>
        </w:tc>
        <w:tc>
          <w:tcPr>
            <w:tcW w:w="0" w:type="auto"/>
            <w:vAlign w:val="center"/>
            <w:hideMark/>
          </w:tcPr>
          <w:p w14:paraId="0EADC864"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Empleo decente y desarrollo de competencias para el trabajo</w:t>
            </w:r>
          </w:p>
        </w:tc>
      </w:tr>
      <w:tr w:rsidR="009F7FF0" w:rsidRPr="000D379D" w14:paraId="68CD1262" w14:textId="77777777">
        <w:trPr>
          <w:tblCellSpacing w:w="15" w:type="dxa"/>
        </w:trPr>
        <w:tc>
          <w:tcPr>
            <w:tcW w:w="0" w:type="auto"/>
            <w:vAlign w:val="center"/>
            <w:hideMark/>
          </w:tcPr>
          <w:p w14:paraId="19854013"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b/>
                <w:bCs/>
                <w:kern w:val="0"/>
                <w:lang w:eastAsia="es-CO"/>
                <w14:ligatures w14:val="none"/>
              </w:rPr>
              <w:t>ODS 9</w:t>
            </w:r>
          </w:p>
        </w:tc>
        <w:tc>
          <w:tcPr>
            <w:tcW w:w="0" w:type="auto"/>
            <w:vAlign w:val="center"/>
            <w:hideMark/>
          </w:tcPr>
          <w:p w14:paraId="27F7CF01"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Innovación, infraestructura tecnológica y digitalización</w:t>
            </w:r>
          </w:p>
        </w:tc>
      </w:tr>
      <w:tr w:rsidR="009F7FF0" w:rsidRPr="000D379D" w14:paraId="317AA2CE" w14:textId="77777777">
        <w:trPr>
          <w:tblCellSpacing w:w="15" w:type="dxa"/>
        </w:trPr>
        <w:tc>
          <w:tcPr>
            <w:tcW w:w="0" w:type="auto"/>
            <w:vAlign w:val="center"/>
            <w:hideMark/>
          </w:tcPr>
          <w:p w14:paraId="1E471C36"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b/>
                <w:bCs/>
                <w:kern w:val="0"/>
                <w:lang w:eastAsia="es-CO"/>
                <w14:ligatures w14:val="none"/>
              </w:rPr>
              <w:t>ODS 10</w:t>
            </w:r>
          </w:p>
        </w:tc>
        <w:tc>
          <w:tcPr>
            <w:tcW w:w="0" w:type="auto"/>
            <w:vAlign w:val="center"/>
            <w:hideMark/>
          </w:tcPr>
          <w:p w14:paraId="2911F898"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Reducción de desigualdades territoriales y sociales</w:t>
            </w:r>
          </w:p>
        </w:tc>
      </w:tr>
      <w:tr w:rsidR="009F7FF0" w:rsidRPr="000D379D" w14:paraId="15FA84AD" w14:textId="77777777">
        <w:trPr>
          <w:tblCellSpacing w:w="15" w:type="dxa"/>
        </w:trPr>
        <w:tc>
          <w:tcPr>
            <w:tcW w:w="0" w:type="auto"/>
            <w:vAlign w:val="center"/>
            <w:hideMark/>
          </w:tcPr>
          <w:p w14:paraId="48C48C88"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b/>
                <w:bCs/>
                <w:kern w:val="0"/>
                <w:lang w:eastAsia="es-CO"/>
                <w14:ligatures w14:val="none"/>
              </w:rPr>
              <w:t>ODS 17</w:t>
            </w:r>
          </w:p>
        </w:tc>
        <w:tc>
          <w:tcPr>
            <w:tcW w:w="0" w:type="auto"/>
            <w:vAlign w:val="center"/>
            <w:hideMark/>
          </w:tcPr>
          <w:p w14:paraId="37501320"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Cooperación internacional y alianzas para el desarrollo</w:t>
            </w:r>
          </w:p>
        </w:tc>
      </w:tr>
    </w:tbl>
    <w:p w14:paraId="46C0905A"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Esta alineación fortalece la coherencia de las intervenciones del Banco y facilita la coordinación con gobiernos, organismos multilaterales y actores del sector privado.</w:t>
      </w:r>
    </w:p>
    <w:p w14:paraId="04E35CD7"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Cuadro sintético: principales líneas estratégicas del BID (2021–2026)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2"/>
        <w:gridCol w:w="2403"/>
        <w:gridCol w:w="1991"/>
        <w:gridCol w:w="2432"/>
      </w:tblGrid>
      <w:tr w:rsidR="009F7FF0" w:rsidRPr="000D379D" w14:paraId="7FC60828" w14:textId="77777777">
        <w:trPr>
          <w:tblHeader/>
          <w:tblCellSpacing w:w="15" w:type="dxa"/>
        </w:trPr>
        <w:tc>
          <w:tcPr>
            <w:tcW w:w="0" w:type="auto"/>
            <w:vAlign w:val="center"/>
            <w:hideMark/>
          </w:tcPr>
          <w:p w14:paraId="216D5E7A" w14:textId="77777777" w:rsidR="009F7FF0" w:rsidRPr="000D379D" w:rsidRDefault="009F7FF0"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lastRenderedPageBreak/>
              <w:t>Eje estratégico</w:t>
            </w:r>
          </w:p>
        </w:tc>
        <w:tc>
          <w:tcPr>
            <w:tcW w:w="0" w:type="auto"/>
            <w:vAlign w:val="center"/>
            <w:hideMark/>
          </w:tcPr>
          <w:p w14:paraId="7BCE34E6" w14:textId="77777777" w:rsidR="009F7FF0" w:rsidRPr="000D379D" w:rsidRDefault="009F7FF0"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Objetivo principal</w:t>
            </w:r>
          </w:p>
        </w:tc>
        <w:tc>
          <w:tcPr>
            <w:tcW w:w="0" w:type="auto"/>
            <w:vAlign w:val="center"/>
            <w:hideMark/>
          </w:tcPr>
          <w:p w14:paraId="30D05FCE" w14:textId="77777777" w:rsidR="009F7FF0" w:rsidRPr="000D379D" w:rsidRDefault="009F7FF0"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Fortalezas</w:t>
            </w:r>
          </w:p>
        </w:tc>
        <w:tc>
          <w:tcPr>
            <w:tcW w:w="0" w:type="auto"/>
            <w:vAlign w:val="center"/>
            <w:hideMark/>
          </w:tcPr>
          <w:p w14:paraId="44F82C3D" w14:textId="77777777" w:rsidR="009F7FF0" w:rsidRPr="000D379D" w:rsidRDefault="009F7FF0"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Desafíos identificados</w:t>
            </w:r>
          </w:p>
        </w:tc>
      </w:tr>
      <w:tr w:rsidR="009F7FF0" w:rsidRPr="000D379D" w14:paraId="5C4E8690" w14:textId="77777777">
        <w:trPr>
          <w:tblCellSpacing w:w="15" w:type="dxa"/>
        </w:trPr>
        <w:tc>
          <w:tcPr>
            <w:tcW w:w="0" w:type="auto"/>
            <w:vAlign w:val="center"/>
            <w:hideMark/>
          </w:tcPr>
          <w:p w14:paraId="6B33EB3A"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Calidad educativa</w:t>
            </w:r>
          </w:p>
        </w:tc>
        <w:tc>
          <w:tcPr>
            <w:tcW w:w="0" w:type="auto"/>
            <w:vAlign w:val="center"/>
            <w:hideMark/>
          </w:tcPr>
          <w:p w14:paraId="41D40449"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Mejorar aprendizajes</w:t>
            </w:r>
          </w:p>
        </w:tc>
        <w:tc>
          <w:tcPr>
            <w:tcW w:w="0" w:type="auto"/>
            <w:vAlign w:val="center"/>
            <w:hideMark/>
          </w:tcPr>
          <w:p w14:paraId="7DB533DD"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Enfoque basado en evidencia</w:t>
            </w:r>
          </w:p>
        </w:tc>
        <w:tc>
          <w:tcPr>
            <w:tcW w:w="0" w:type="auto"/>
            <w:vAlign w:val="center"/>
            <w:hideMark/>
          </w:tcPr>
          <w:p w14:paraId="2B93B333"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Persisten brechas de desempeño</w:t>
            </w:r>
          </w:p>
        </w:tc>
      </w:tr>
      <w:tr w:rsidR="009F7FF0" w:rsidRPr="000D379D" w14:paraId="0646A389" w14:textId="77777777">
        <w:trPr>
          <w:tblCellSpacing w:w="15" w:type="dxa"/>
        </w:trPr>
        <w:tc>
          <w:tcPr>
            <w:tcW w:w="0" w:type="auto"/>
            <w:vAlign w:val="center"/>
            <w:hideMark/>
          </w:tcPr>
          <w:p w14:paraId="4B8D36C0"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Transformación digital</w:t>
            </w:r>
          </w:p>
        </w:tc>
        <w:tc>
          <w:tcPr>
            <w:tcW w:w="0" w:type="auto"/>
            <w:vAlign w:val="center"/>
            <w:hideMark/>
          </w:tcPr>
          <w:p w14:paraId="037A47EF"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Modernizar sistemas educativos</w:t>
            </w:r>
          </w:p>
        </w:tc>
        <w:tc>
          <w:tcPr>
            <w:tcW w:w="0" w:type="auto"/>
            <w:vAlign w:val="center"/>
            <w:hideMark/>
          </w:tcPr>
          <w:p w14:paraId="052649AF"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Impulso a plataformas y conectividad</w:t>
            </w:r>
          </w:p>
        </w:tc>
        <w:tc>
          <w:tcPr>
            <w:tcW w:w="0" w:type="auto"/>
            <w:vAlign w:val="center"/>
            <w:hideMark/>
          </w:tcPr>
          <w:p w14:paraId="28E57858"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Desigualdad en acceso y capacidades</w:t>
            </w:r>
          </w:p>
        </w:tc>
      </w:tr>
      <w:tr w:rsidR="009F7FF0" w:rsidRPr="000D379D" w14:paraId="1675C87E" w14:textId="77777777">
        <w:trPr>
          <w:tblCellSpacing w:w="15" w:type="dxa"/>
        </w:trPr>
        <w:tc>
          <w:tcPr>
            <w:tcW w:w="0" w:type="auto"/>
            <w:vAlign w:val="center"/>
            <w:hideMark/>
          </w:tcPr>
          <w:p w14:paraId="5EFC70E5"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Educación superior</w:t>
            </w:r>
          </w:p>
        </w:tc>
        <w:tc>
          <w:tcPr>
            <w:tcW w:w="0" w:type="auto"/>
            <w:vAlign w:val="center"/>
            <w:hideMark/>
          </w:tcPr>
          <w:p w14:paraId="1583EEE4"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Fortalecer universidades</w:t>
            </w:r>
          </w:p>
        </w:tc>
        <w:tc>
          <w:tcPr>
            <w:tcW w:w="0" w:type="auto"/>
            <w:vAlign w:val="center"/>
            <w:hideMark/>
          </w:tcPr>
          <w:p w14:paraId="01705150"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Calidad, gobernanza e innovación</w:t>
            </w:r>
          </w:p>
        </w:tc>
        <w:tc>
          <w:tcPr>
            <w:tcW w:w="0" w:type="auto"/>
            <w:vAlign w:val="center"/>
            <w:hideMark/>
          </w:tcPr>
          <w:p w14:paraId="4CEC0B2E"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Heterogeneidad institucional</w:t>
            </w:r>
          </w:p>
        </w:tc>
      </w:tr>
      <w:tr w:rsidR="009F7FF0" w:rsidRPr="000D379D" w14:paraId="02DBBC36" w14:textId="77777777">
        <w:trPr>
          <w:tblCellSpacing w:w="15" w:type="dxa"/>
        </w:trPr>
        <w:tc>
          <w:tcPr>
            <w:tcW w:w="0" w:type="auto"/>
            <w:vAlign w:val="center"/>
            <w:hideMark/>
          </w:tcPr>
          <w:p w14:paraId="3F99547A"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Ciencia, tecnología e innovación</w:t>
            </w:r>
          </w:p>
        </w:tc>
        <w:tc>
          <w:tcPr>
            <w:tcW w:w="0" w:type="auto"/>
            <w:vAlign w:val="center"/>
            <w:hideMark/>
          </w:tcPr>
          <w:p w14:paraId="784AA9D4"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Incrementar productividad basada en conocimiento</w:t>
            </w:r>
          </w:p>
        </w:tc>
        <w:tc>
          <w:tcPr>
            <w:tcW w:w="0" w:type="auto"/>
            <w:vAlign w:val="center"/>
            <w:hideMark/>
          </w:tcPr>
          <w:p w14:paraId="63621E3A"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Ecosistemas de innovación</w:t>
            </w:r>
          </w:p>
        </w:tc>
        <w:tc>
          <w:tcPr>
            <w:tcW w:w="0" w:type="auto"/>
            <w:vAlign w:val="center"/>
            <w:hideMark/>
          </w:tcPr>
          <w:p w14:paraId="462E8CC8"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Baja inversión en I+D</w:t>
            </w:r>
          </w:p>
        </w:tc>
      </w:tr>
      <w:tr w:rsidR="009F7FF0" w:rsidRPr="000D379D" w14:paraId="2FBE94E4" w14:textId="77777777">
        <w:trPr>
          <w:tblCellSpacing w:w="15" w:type="dxa"/>
        </w:trPr>
        <w:tc>
          <w:tcPr>
            <w:tcW w:w="0" w:type="auto"/>
            <w:vAlign w:val="center"/>
            <w:hideMark/>
          </w:tcPr>
          <w:p w14:paraId="42D01824"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Formación para el trabajo</w:t>
            </w:r>
          </w:p>
        </w:tc>
        <w:tc>
          <w:tcPr>
            <w:tcW w:w="0" w:type="auto"/>
            <w:vAlign w:val="center"/>
            <w:hideMark/>
          </w:tcPr>
          <w:p w14:paraId="443B0395"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Desarrollar competencias para la economía digital</w:t>
            </w:r>
          </w:p>
        </w:tc>
        <w:tc>
          <w:tcPr>
            <w:tcW w:w="0" w:type="auto"/>
            <w:vAlign w:val="center"/>
            <w:hideMark/>
          </w:tcPr>
          <w:p w14:paraId="27054831"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Enfoque en habilidades del siglo XXI</w:t>
            </w:r>
          </w:p>
        </w:tc>
        <w:tc>
          <w:tcPr>
            <w:tcW w:w="0" w:type="auto"/>
            <w:vAlign w:val="center"/>
            <w:hideMark/>
          </w:tcPr>
          <w:p w14:paraId="10AF4A35"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Articulación insuficiente con el mercado laboral</w:t>
            </w:r>
          </w:p>
        </w:tc>
      </w:tr>
      <w:tr w:rsidR="009F7FF0" w:rsidRPr="000D379D" w14:paraId="7D496971" w14:textId="77777777">
        <w:trPr>
          <w:tblCellSpacing w:w="15" w:type="dxa"/>
        </w:trPr>
        <w:tc>
          <w:tcPr>
            <w:tcW w:w="0" w:type="auto"/>
            <w:vAlign w:val="center"/>
            <w:hideMark/>
          </w:tcPr>
          <w:p w14:paraId="3D62CD2A"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Inclusión y equidad</w:t>
            </w:r>
          </w:p>
        </w:tc>
        <w:tc>
          <w:tcPr>
            <w:tcW w:w="0" w:type="auto"/>
            <w:vAlign w:val="center"/>
            <w:hideMark/>
          </w:tcPr>
          <w:p w14:paraId="12659209"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Reducir brechas sociales y territoriales</w:t>
            </w:r>
          </w:p>
        </w:tc>
        <w:tc>
          <w:tcPr>
            <w:tcW w:w="0" w:type="auto"/>
            <w:vAlign w:val="center"/>
            <w:hideMark/>
          </w:tcPr>
          <w:p w14:paraId="5DA02B93"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Priorización de poblaciones vulnerables</w:t>
            </w:r>
          </w:p>
        </w:tc>
        <w:tc>
          <w:tcPr>
            <w:tcW w:w="0" w:type="auto"/>
            <w:vAlign w:val="center"/>
            <w:hideMark/>
          </w:tcPr>
          <w:p w14:paraId="64B48B1B" w14:textId="77777777" w:rsidR="009F7FF0" w:rsidRPr="000D379D" w:rsidRDefault="009F7FF0"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Persisten desigualdades estructurales</w:t>
            </w:r>
          </w:p>
        </w:tc>
      </w:tr>
    </w:tbl>
    <w:p w14:paraId="4B379A5D" w14:textId="77777777" w:rsidR="009F7FF0" w:rsidRPr="000D379D" w:rsidRDefault="009F7FF0"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Reflexión crítica del capítulo</w:t>
      </w:r>
    </w:p>
    <w:p w14:paraId="2F29AF90"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estrategia institucional del BID durante el período 2021–2026 evidencia una evolución positiva hacia un enfoque más sistémico e integrado del desarrollo. La articulación entre educación, educación superior, ciencia, tecnología e innovación constituye una de sus principales fortalezas, al reconocer que estos ámbitos son interdependientes y esenciales para mejorar la competitividad regional.</w:t>
      </w:r>
    </w:p>
    <w:p w14:paraId="6D40EF9E"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No obstante, el impacto de estas estrategias depende en gran medida de la capacidad institucional de los países para implementarlas de manera sostenida. Las diferencias en gobernanza, financiamiento, infraestructura y capacidades técnicas generan resultados heterogéneos, lo que plantea la necesidad de fortalecer los mecanismos de acompañamiento, evaluación y cooperación técnica.</w:t>
      </w:r>
    </w:p>
    <w:p w14:paraId="6F356519" w14:textId="77777777" w:rsidR="009F7FF0" w:rsidRPr="000D379D" w:rsidRDefault="009F7FF0"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Asimismo, aunque el BID ha avanzado en la incorporación de temas emergentes como la inteligencia artificial, la transformación digital y las competencias para el futuro del trabajo, resulta necesario profundizar las acciones orientadas a reducir las brechas territoriales, promover la inclusión de poblaciones vulnerables y fortalecer la articulación entre los sistemas educativos, los ecosistemas de innovación y el sector productivo.</w:t>
      </w:r>
    </w:p>
    <w:p w14:paraId="1AD6177D" w14:textId="77777777" w:rsidR="006E14ED" w:rsidRPr="000D379D" w:rsidRDefault="006E14ED"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Capítulo 4. Programas y proyectos del BID en educación y educación superior</w:t>
      </w:r>
    </w:p>
    <w:p w14:paraId="6C95FD64"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 Programas y proyectos del BID en educación y educación superior</w:t>
      </w:r>
    </w:p>
    <w:p w14:paraId="5126C9F5" w14:textId="77777777" w:rsidR="006E14ED" w:rsidRPr="000D379D" w:rsidRDefault="006E14ED"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4.1 Introducción</w:t>
      </w:r>
    </w:p>
    <w:p w14:paraId="581E93BE"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Durante el período 2021–2026, el Banco Interamericano de Desarrollo (BID) consolidó una cartera de programas orientados a enfrentar tres desafíos centrales para la región:</w:t>
      </w:r>
    </w:p>
    <w:p w14:paraId="2816D4C3" w14:textId="77777777" w:rsidR="006E14ED" w:rsidRPr="000D379D" w:rsidRDefault="006E14ED" w:rsidP="00EC070D">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recuperar los aprendizajes perdidos durante la pandemia; </w:t>
      </w:r>
    </w:p>
    <w:p w14:paraId="0EED1688" w14:textId="77777777" w:rsidR="006E14ED" w:rsidRPr="000D379D" w:rsidRDefault="006E14ED" w:rsidP="00EC070D">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mejorar la calidad y pertinencia de la educación; </w:t>
      </w:r>
    </w:p>
    <w:p w14:paraId="38862324" w14:textId="77777777" w:rsidR="006E14ED" w:rsidRPr="000D379D" w:rsidRDefault="006E14ED" w:rsidP="00EC070D">
      <w:pPr>
        <w:numPr>
          <w:ilvl w:val="0"/>
          <w:numId w:val="1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fortalecer el capital humano para una economía basada en el conocimiento. </w:t>
      </w:r>
    </w:p>
    <w:p w14:paraId="0CFEFDB7"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Más que financiar infraestructura o ampliar cobertura, el BID impulsó reformas institucionales, innovación pedagógica, digitalización educativa y fortalecimiento de capacidades nacionales. Su intervención se caracterizó por combinar financiamiento, cooperación técnica, generación de evidencia y acompañamiento a políticas públicas.</w:t>
      </w:r>
    </w:p>
    <w:p w14:paraId="23822604"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4.2 Recuperación de los aprendizajes</w:t>
      </w:r>
    </w:p>
    <w:p w14:paraId="52F93647"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Uno de los programas prioritarios del BID fue apoyar a los ministerios de educación en la recuperación de las pérdidas de aprendizaje ocasionadas por la pandemia.</w:t>
      </w:r>
    </w:p>
    <w:p w14:paraId="3DA41EEE"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principales acciones incluyeron:</w:t>
      </w:r>
    </w:p>
    <w:p w14:paraId="5C4361D5" w14:textId="77777777" w:rsidR="006E14ED" w:rsidRPr="000D379D" w:rsidRDefault="006E14ED" w:rsidP="00EC070D">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evaluación diagnóstica de estudiantes; </w:t>
      </w:r>
    </w:p>
    <w:p w14:paraId="200D0C43" w14:textId="77777777" w:rsidR="006E14ED" w:rsidRPr="000D379D" w:rsidRDefault="006E14ED" w:rsidP="00EC070D">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programas de nivelación académica; </w:t>
      </w:r>
    </w:p>
    <w:p w14:paraId="2F9C1EB0" w14:textId="77777777" w:rsidR="006E14ED" w:rsidRPr="000D379D" w:rsidRDefault="006E14ED" w:rsidP="00EC070D">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tutorías focalizadas; </w:t>
      </w:r>
    </w:p>
    <w:p w14:paraId="13521032" w14:textId="77777777" w:rsidR="006E14ED" w:rsidRPr="000D379D" w:rsidRDefault="006E14ED" w:rsidP="00EC070D">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competencias básicas en lectura y matemáticas; </w:t>
      </w:r>
    </w:p>
    <w:p w14:paraId="4E4401DD" w14:textId="77777777" w:rsidR="006E14ED" w:rsidRPr="000D379D" w:rsidRDefault="006E14ED" w:rsidP="00EC070D">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seguimiento individualizado del aprendizaje; </w:t>
      </w:r>
    </w:p>
    <w:p w14:paraId="220861DD" w14:textId="77777777" w:rsidR="006E14ED" w:rsidRPr="000D379D" w:rsidRDefault="006E14ED" w:rsidP="00EC070D">
      <w:pPr>
        <w:numPr>
          <w:ilvl w:val="0"/>
          <w:numId w:val="1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reducción del abandono escolar. </w:t>
      </w:r>
    </w:p>
    <w:p w14:paraId="369F2850"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Estos programas buscaron evitar que las brechas educativas generadas durante la emergencia sanitaria se transformaran en desigualdades permanentes.</w:t>
      </w:r>
    </w:p>
    <w:p w14:paraId="12DA546A" w14:textId="77777777" w:rsidR="006E14ED" w:rsidRPr="000D379D" w:rsidRDefault="006E14ED"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5CE527B2"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estrategia fue técnicamente sólida y estuvo respaldada por evidencia internacional. Sin embargo, su implementación mostró resultados heterogéneos debido a diferencias en la capacidad de gestión de los sistemas educativos, disponibilidad de docentes y continuidad de las políticas públicas entre gobiernos.</w:t>
      </w:r>
    </w:p>
    <w:p w14:paraId="0D3EB1BA"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4.3 Fortalecimiento de la calidad docente</w:t>
      </w:r>
    </w:p>
    <w:p w14:paraId="3934F2A1"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considera que los docentes constituyen el principal factor escolar asociado a la mejora de los aprendizajes.</w:t>
      </w:r>
    </w:p>
    <w:p w14:paraId="3F4CDDF5"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Por ello promovió iniciativas relacionadas con:</w:t>
      </w:r>
    </w:p>
    <w:p w14:paraId="02EBE72F" w14:textId="77777777" w:rsidR="006E14ED" w:rsidRPr="000D379D" w:rsidRDefault="006E14ED" w:rsidP="00EC070D">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formación inicial; </w:t>
      </w:r>
    </w:p>
    <w:p w14:paraId="2F10AE1F" w14:textId="77777777" w:rsidR="006E14ED" w:rsidRPr="000D379D" w:rsidRDefault="006E14ED" w:rsidP="00EC070D">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actualización profesional continua; </w:t>
      </w:r>
    </w:p>
    <w:p w14:paraId="2DF4B002" w14:textId="77777777" w:rsidR="006E14ED" w:rsidRPr="000D379D" w:rsidRDefault="006E14ED" w:rsidP="00EC070D">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desarrollo de competencias digitales; </w:t>
      </w:r>
    </w:p>
    <w:p w14:paraId="1F1117EB" w14:textId="77777777" w:rsidR="006E14ED" w:rsidRPr="000D379D" w:rsidRDefault="006E14ED" w:rsidP="00EC070D">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liderazgo pedagógico; </w:t>
      </w:r>
    </w:p>
    <w:p w14:paraId="6DCF4804" w14:textId="77777777" w:rsidR="006E14ED" w:rsidRPr="000D379D" w:rsidRDefault="006E14ED" w:rsidP="00EC070D">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 xml:space="preserve">acompañamiento docente; </w:t>
      </w:r>
    </w:p>
    <w:p w14:paraId="440AC3C1" w14:textId="77777777" w:rsidR="006E14ED" w:rsidRPr="000D379D" w:rsidRDefault="006E14ED" w:rsidP="00EC070D">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comunidades de aprendizaje; </w:t>
      </w:r>
    </w:p>
    <w:p w14:paraId="6C049828" w14:textId="77777777" w:rsidR="006E14ED" w:rsidRPr="000D379D" w:rsidRDefault="006E14ED" w:rsidP="00EC070D">
      <w:pPr>
        <w:numPr>
          <w:ilvl w:val="0"/>
          <w:numId w:val="1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evaluación formativa. </w:t>
      </w:r>
    </w:p>
    <w:p w14:paraId="074E1698"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Especial relevancia adquirió la capacitación para el uso pedagógico de tecnologías digitales e inteligencia artificial.</w:t>
      </w:r>
    </w:p>
    <w:p w14:paraId="59C57399" w14:textId="77777777" w:rsidR="006E14ED" w:rsidRPr="000D379D" w:rsidRDefault="006E14ED"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06F09F22"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Aunque estas iniciativas fortalecen las capacidades profesionales del magisterio, uno de los principales desafíos continúa siendo lograr que los procesos de formación produzcan cambios sostenibles en las prácticas de aula. Esto requiere sistemas permanentes de acompañamiento, incentivos y evaluación.</w:t>
      </w:r>
    </w:p>
    <w:p w14:paraId="4FC4594A"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4.4 Transformación digital de los sistemas educativos</w:t>
      </w:r>
    </w:p>
    <w:p w14:paraId="3AA240ED"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Durante los últimos cinco años el BID financió proyectos dirigidos a modernizar los sistemas educativos mediante:</w:t>
      </w:r>
    </w:p>
    <w:p w14:paraId="7DA1A427" w14:textId="77777777" w:rsidR="006E14ED" w:rsidRPr="000D379D" w:rsidRDefault="006E14ED" w:rsidP="00EC070D">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expansión de conectividad; </w:t>
      </w:r>
    </w:p>
    <w:p w14:paraId="3D236720" w14:textId="77777777" w:rsidR="006E14ED" w:rsidRPr="000D379D" w:rsidRDefault="006E14ED" w:rsidP="00EC070D">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adquisición de dispositivos tecnológicos; </w:t>
      </w:r>
    </w:p>
    <w:p w14:paraId="12381350" w14:textId="77777777" w:rsidR="006E14ED" w:rsidRPr="000D379D" w:rsidRDefault="006E14ED" w:rsidP="00EC070D">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plataformas nacionales de aprendizaje; </w:t>
      </w:r>
    </w:p>
    <w:p w14:paraId="0C49B1FE" w14:textId="77777777" w:rsidR="006E14ED" w:rsidRPr="000D379D" w:rsidRDefault="006E14ED" w:rsidP="00EC070D">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contenidos digitales; </w:t>
      </w:r>
    </w:p>
    <w:p w14:paraId="023E0D28" w14:textId="77777777" w:rsidR="006E14ED" w:rsidRPr="000D379D" w:rsidRDefault="006E14ED" w:rsidP="00EC070D">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sistemas de información educativa; </w:t>
      </w:r>
    </w:p>
    <w:p w14:paraId="218B6DA2" w14:textId="77777777" w:rsidR="006E14ED" w:rsidRPr="000D379D" w:rsidRDefault="006E14ED" w:rsidP="00EC070D">
      <w:pPr>
        <w:numPr>
          <w:ilvl w:val="0"/>
          <w:numId w:val="1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analítica de datos. </w:t>
      </w:r>
    </w:p>
    <w:p w14:paraId="7CF998DF"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varios países también apoyó la digitalización de procesos administrativos y la integración de información para mejorar la toma de decisiones.</w:t>
      </w:r>
    </w:p>
    <w:p w14:paraId="0E6A9CA0" w14:textId="77777777" w:rsidR="006E14ED" w:rsidRPr="000D379D" w:rsidRDefault="006E14ED"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2B07521C"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pandemia aceleró inversiones tecnológicas que probablemente habrían tomado una década. Sin embargo, numerosos proyectos privilegiaron la adquisición de equipos sobre la transformación pedagógica. La experiencia demuestra que la innovación educativa depende más del desarrollo de capacidades humanas que de la disponibilidad de tecnología.</w:t>
      </w:r>
    </w:p>
    <w:p w14:paraId="54253BB8"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4.5 Educación inclusiva</w:t>
      </w:r>
    </w:p>
    <w:p w14:paraId="3370F755"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fortaleció programas orientados a reducir desigualdades mediante acciones dirigidas a:</w:t>
      </w:r>
    </w:p>
    <w:p w14:paraId="0FCD4A87" w14:textId="77777777" w:rsidR="006E14ED" w:rsidRPr="000D379D" w:rsidRDefault="006E14ED" w:rsidP="00EC070D">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población rural; </w:t>
      </w:r>
    </w:p>
    <w:p w14:paraId="51B0DDEE" w14:textId="77777777" w:rsidR="006E14ED" w:rsidRPr="000D379D" w:rsidRDefault="006E14ED" w:rsidP="00EC070D">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comunidades indígenas; </w:t>
      </w:r>
    </w:p>
    <w:p w14:paraId="093ED8D8" w14:textId="77777777" w:rsidR="006E14ED" w:rsidRPr="000D379D" w:rsidRDefault="006E14ED" w:rsidP="00EC070D">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población afrodescendiente; </w:t>
      </w:r>
    </w:p>
    <w:p w14:paraId="4B1180BA" w14:textId="77777777" w:rsidR="006E14ED" w:rsidRPr="000D379D" w:rsidRDefault="006E14ED" w:rsidP="00EC070D">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estudiantes con discapacidad; </w:t>
      </w:r>
    </w:p>
    <w:p w14:paraId="79844A7D" w14:textId="77777777" w:rsidR="006E14ED" w:rsidRPr="000D379D" w:rsidRDefault="006E14ED" w:rsidP="00EC070D">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mujeres en carreras STEM; </w:t>
      </w:r>
    </w:p>
    <w:p w14:paraId="632AA554" w14:textId="77777777" w:rsidR="006E14ED" w:rsidRPr="000D379D" w:rsidRDefault="006E14ED" w:rsidP="00EC070D">
      <w:pPr>
        <w:numPr>
          <w:ilvl w:val="0"/>
          <w:numId w:val="1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jóvenes en condición de vulnerabilidad. </w:t>
      </w:r>
    </w:p>
    <w:p w14:paraId="76157489"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Las estrategias incluyeron becas, apoyos económicos, innovación pedagógica y fortalecimiento institucional.</w:t>
      </w:r>
    </w:p>
    <w:p w14:paraId="302490A0" w14:textId="77777777" w:rsidR="006E14ED" w:rsidRPr="000D379D" w:rsidRDefault="006E14ED"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05CD107D"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enfoque inclusivo constituye uno de los principales avances de la estrategia del Banco. Sin embargo, persisten importantes brechas territoriales cuya superación exige intervenciones multisectoriales que trasciendan el ámbito educativo.</w:t>
      </w:r>
    </w:p>
    <w:p w14:paraId="0038993D"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4.6 Educación superior</w:t>
      </w:r>
    </w:p>
    <w:p w14:paraId="165B72B5"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educación superior, el BID impulsó una agenda centrada en fortalecer la calidad y la pertinencia institucional.</w:t>
      </w:r>
    </w:p>
    <w:p w14:paraId="4D4C506A"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principales líneas de intervención fueron:</w:t>
      </w:r>
    </w:p>
    <w:p w14:paraId="03B5BF5F" w14:textId="77777777" w:rsidR="006E14ED" w:rsidRPr="000D379D" w:rsidRDefault="006E14ED"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 Transformación digital universitaria</w:t>
      </w:r>
    </w:p>
    <w:p w14:paraId="6E7B426D"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universidades recibieron apoyo para:</w:t>
      </w:r>
    </w:p>
    <w:p w14:paraId="09B0422B" w14:textId="77777777" w:rsidR="006E14ED" w:rsidRPr="000D379D" w:rsidRDefault="006E14ED" w:rsidP="00EC070D">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modernizar plataformas académicas; </w:t>
      </w:r>
    </w:p>
    <w:p w14:paraId="49E714C2" w14:textId="77777777" w:rsidR="006E14ED" w:rsidRPr="000D379D" w:rsidRDefault="006E14ED" w:rsidP="00EC070D">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fortalecer educación híbrida; </w:t>
      </w:r>
    </w:p>
    <w:p w14:paraId="4114259A" w14:textId="77777777" w:rsidR="006E14ED" w:rsidRPr="000D379D" w:rsidRDefault="006E14ED" w:rsidP="00EC070D">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digitalizar procesos administrativos; </w:t>
      </w:r>
    </w:p>
    <w:p w14:paraId="3CF35797" w14:textId="77777777" w:rsidR="006E14ED" w:rsidRPr="000D379D" w:rsidRDefault="006E14ED" w:rsidP="00EC070D">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desarrollar campus inteligentes; </w:t>
      </w:r>
    </w:p>
    <w:p w14:paraId="5E74231B" w14:textId="77777777" w:rsidR="006E14ED" w:rsidRPr="000D379D" w:rsidRDefault="006E14ED" w:rsidP="00EC070D">
      <w:pPr>
        <w:numPr>
          <w:ilvl w:val="0"/>
          <w:numId w:val="1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fortalecer infraestructura tecnológica. </w:t>
      </w:r>
    </w:p>
    <w:p w14:paraId="2873A830" w14:textId="77777777" w:rsidR="006E14ED" w:rsidRPr="000D379D" w:rsidRDefault="006E14ED"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Valoración crítica</w:t>
      </w:r>
    </w:p>
    <w:p w14:paraId="78080A0F"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digitalización universitaria mejoró la resiliencia institucional, aunque persisten diferencias importantes entre universidades públicas y privadas, así como entre instituciones urbanas y regionales.</w:t>
      </w:r>
    </w:p>
    <w:p w14:paraId="538B3A24" w14:textId="77777777" w:rsidR="006E14ED" w:rsidRPr="000D379D" w:rsidRDefault="006E14ED"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b) Aseguramiento de la calidad</w:t>
      </w:r>
    </w:p>
    <w:p w14:paraId="1F426AEB"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Banco apoyó procesos relacionados con:</w:t>
      </w:r>
    </w:p>
    <w:p w14:paraId="520C8C2B" w14:textId="77777777" w:rsidR="006E14ED" w:rsidRPr="000D379D" w:rsidRDefault="006E14ED" w:rsidP="00EC070D">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acreditación; </w:t>
      </w:r>
    </w:p>
    <w:p w14:paraId="466A1C72" w14:textId="77777777" w:rsidR="006E14ED" w:rsidRPr="000D379D" w:rsidRDefault="006E14ED" w:rsidP="00EC070D">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evaluación institucional; </w:t>
      </w:r>
    </w:p>
    <w:p w14:paraId="6FD21E8C" w14:textId="77777777" w:rsidR="006E14ED" w:rsidRPr="000D379D" w:rsidRDefault="006E14ED" w:rsidP="00EC070D">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agencias nacionales; </w:t>
      </w:r>
    </w:p>
    <w:p w14:paraId="6AEAD898" w14:textId="77777777" w:rsidR="006E14ED" w:rsidRPr="000D379D" w:rsidRDefault="006E14ED" w:rsidP="00EC070D">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mejoramiento continuo; </w:t>
      </w:r>
    </w:p>
    <w:p w14:paraId="4E84233F" w14:textId="77777777" w:rsidR="006E14ED" w:rsidRPr="000D379D" w:rsidRDefault="006E14ED" w:rsidP="00EC070D">
      <w:pPr>
        <w:numPr>
          <w:ilvl w:val="0"/>
          <w:numId w:val="1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desarrollo de indicadores. </w:t>
      </w:r>
    </w:p>
    <w:p w14:paraId="3E49149C" w14:textId="77777777" w:rsidR="006E14ED" w:rsidRPr="000D379D" w:rsidRDefault="006E14ED"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Valoración crítica</w:t>
      </w:r>
    </w:p>
    <w:p w14:paraId="14A86DA8"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Estas iniciativas fortalecen la gobernanza universitaria; sin embargo, algunos sistemas continúan privilegiando procesos administrativos sobre la evaluación efectiva de los resultados de aprendizaje y la producción científica.</w:t>
      </w:r>
    </w:p>
    <w:p w14:paraId="7A608754" w14:textId="77777777" w:rsidR="006E14ED" w:rsidRPr="000D379D" w:rsidRDefault="006E14ED"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lastRenderedPageBreak/>
        <w:t>c) Investigación e innovación</w:t>
      </w:r>
    </w:p>
    <w:p w14:paraId="64348E89"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universidades también recibieron apoyo para fortalecer:</w:t>
      </w:r>
    </w:p>
    <w:p w14:paraId="4F4D02B3" w14:textId="77777777" w:rsidR="006E14ED" w:rsidRPr="000D379D" w:rsidRDefault="006E14ED" w:rsidP="00EC070D">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investigación aplicada; </w:t>
      </w:r>
    </w:p>
    <w:p w14:paraId="586D5A34" w14:textId="77777777" w:rsidR="006E14ED" w:rsidRPr="000D379D" w:rsidRDefault="006E14ED" w:rsidP="00EC070D">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transferencia tecnológica; </w:t>
      </w:r>
    </w:p>
    <w:p w14:paraId="762A5A2C" w14:textId="77777777" w:rsidR="006E14ED" w:rsidRPr="000D379D" w:rsidRDefault="006E14ED" w:rsidP="00EC070D">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laboratorios; </w:t>
      </w:r>
    </w:p>
    <w:p w14:paraId="51D24FA8" w14:textId="77777777" w:rsidR="006E14ED" w:rsidRPr="000D379D" w:rsidRDefault="006E14ED" w:rsidP="00EC070D">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cooperación internacional; </w:t>
      </w:r>
    </w:p>
    <w:p w14:paraId="0C46BBAC" w14:textId="77777777" w:rsidR="006E14ED" w:rsidRPr="000D379D" w:rsidRDefault="006E14ED" w:rsidP="00EC070D">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redes científicas; </w:t>
      </w:r>
    </w:p>
    <w:p w14:paraId="109A6E95" w14:textId="77777777" w:rsidR="006E14ED" w:rsidRPr="000D379D" w:rsidRDefault="006E14ED" w:rsidP="00EC070D">
      <w:pPr>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emprendimiento universitario. </w:t>
      </w:r>
    </w:p>
    <w:p w14:paraId="0F910D58" w14:textId="77777777" w:rsidR="006E14ED" w:rsidRPr="000D379D" w:rsidRDefault="006E14ED"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Valoración crítica</w:t>
      </w:r>
    </w:p>
    <w:p w14:paraId="4AB999D2"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Aunque estos programas fortalecen capacidades científicas, su impacto continúa limitado por los bajos niveles de inversión nacional en investigación y desarrollo (I+D) y por la débil articulación con el sector productivo.</w:t>
      </w:r>
    </w:p>
    <w:p w14:paraId="697E1235" w14:textId="77777777" w:rsidR="006E14ED" w:rsidRPr="000D379D" w:rsidRDefault="006E14ED"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d) Formación para el empleo</w:t>
      </w:r>
    </w:p>
    <w:p w14:paraId="248D62BB"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promovió reformas curriculares orientadas al desarrollo de competencias para:</w:t>
      </w:r>
    </w:p>
    <w:p w14:paraId="5F1173DA" w14:textId="77777777" w:rsidR="006E14ED" w:rsidRPr="000D379D" w:rsidRDefault="006E14ED" w:rsidP="00EC070D">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economía digital; </w:t>
      </w:r>
    </w:p>
    <w:p w14:paraId="3B965CD2" w14:textId="77777777" w:rsidR="006E14ED" w:rsidRPr="000D379D" w:rsidRDefault="006E14ED" w:rsidP="00EC070D">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inteligencia artificial; </w:t>
      </w:r>
    </w:p>
    <w:p w14:paraId="1273A9FA" w14:textId="77777777" w:rsidR="006E14ED" w:rsidRPr="000D379D" w:rsidRDefault="006E14ED" w:rsidP="00EC070D">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análisis de datos; </w:t>
      </w:r>
    </w:p>
    <w:p w14:paraId="7A4C8C72" w14:textId="77777777" w:rsidR="006E14ED" w:rsidRPr="000D379D" w:rsidRDefault="006E14ED" w:rsidP="00EC070D">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automatización; </w:t>
      </w:r>
    </w:p>
    <w:p w14:paraId="65B4ED32" w14:textId="77777777" w:rsidR="006E14ED" w:rsidRPr="000D379D" w:rsidRDefault="006E14ED" w:rsidP="00EC070D">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industria 4.0; </w:t>
      </w:r>
    </w:p>
    <w:p w14:paraId="68FC73B3" w14:textId="77777777" w:rsidR="006E14ED" w:rsidRPr="000D379D" w:rsidRDefault="006E14ED" w:rsidP="00EC070D">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energías renovables; </w:t>
      </w:r>
    </w:p>
    <w:p w14:paraId="37EF8061" w14:textId="77777777" w:rsidR="006E14ED" w:rsidRPr="000D379D" w:rsidRDefault="006E14ED" w:rsidP="00EC070D">
      <w:pPr>
        <w:numPr>
          <w:ilvl w:val="0"/>
          <w:numId w:val="20"/>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economía verde. </w:t>
      </w:r>
    </w:p>
    <w:p w14:paraId="7A1CE7B8"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También apoyó modelos de </w:t>
      </w:r>
      <w:proofErr w:type="spellStart"/>
      <w:r w:rsidRPr="000D379D">
        <w:rPr>
          <w:rFonts w:eastAsia="Times New Roman" w:cs="Times New Roman"/>
          <w:kern w:val="0"/>
          <w:lang w:eastAsia="es-CO"/>
          <w14:ligatures w14:val="none"/>
        </w:rPr>
        <w:t>microcredenciales</w:t>
      </w:r>
      <w:proofErr w:type="spellEnd"/>
      <w:r w:rsidRPr="000D379D">
        <w:rPr>
          <w:rFonts w:eastAsia="Times New Roman" w:cs="Times New Roman"/>
          <w:kern w:val="0"/>
          <w:lang w:eastAsia="es-CO"/>
          <w14:ligatures w14:val="none"/>
        </w:rPr>
        <w:t xml:space="preserve"> y educación continua.</w:t>
      </w:r>
    </w:p>
    <w:p w14:paraId="41F27FEB" w14:textId="77777777" w:rsidR="006E14ED" w:rsidRPr="000D379D" w:rsidRDefault="006E14ED"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Valoración crítica</w:t>
      </w:r>
    </w:p>
    <w:p w14:paraId="0F2240CD"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Esta orientación responde adecuadamente a las nuevas demandas del mercado laboral. No obstante, existe el riesgo de privilegiar competencias de corto plazo sin descuidar la formación integral, la investigación básica y las humanidades.</w:t>
      </w:r>
    </w:p>
    <w:p w14:paraId="58BAE6E7"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4.7 Ejemplos representativos de intervenciones nacionales</w:t>
      </w:r>
    </w:p>
    <w:p w14:paraId="153912B9"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Aunque las prioridades variaron entre países, el BID desarrolló operaciones que reflejan una agenda regional coherente: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5"/>
        <w:gridCol w:w="4270"/>
        <w:gridCol w:w="2883"/>
      </w:tblGrid>
      <w:tr w:rsidR="006E14ED" w:rsidRPr="000D379D" w14:paraId="29249AEB" w14:textId="77777777">
        <w:trPr>
          <w:tblHeader/>
          <w:tblCellSpacing w:w="15" w:type="dxa"/>
        </w:trPr>
        <w:tc>
          <w:tcPr>
            <w:tcW w:w="0" w:type="auto"/>
            <w:vAlign w:val="center"/>
            <w:hideMark/>
          </w:tcPr>
          <w:p w14:paraId="498FFEC6" w14:textId="77777777" w:rsidR="006E14ED" w:rsidRPr="000D379D" w:rsidRDefault="006E14ED"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País</w:t>
            </w:r>
          </w:p>
        </w:tc>
        <w:tc>
          <w:tcPr>
            <w:tcW w:w="0" w:type="auto"/>
            <w:vAlign w:val="center"/>
            <w:hideMark/>
          </w:tcPr>
          <w:p w14:paraId="342DDB48" w14:textId="77777777" w:rsidR="006E14ED" w:rsidRPr="000D379D" w:rsidRDefault="006E14ED"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Tipo de intervención</w:t>
            </w:r>
          </w:p>
        </w:tc>
        <w:tc>
          <w:tcPr>
            <w:tcW w:w="0" w:type="auto"/>
            <w:vAlign w:val="center"/>
            <w:hideMark/>
          </w:tcPr>
          <w:p w14:paraId="5E421B77" w14:textId="77777777" w:rsidR="006E14ED" w:rsidRPr="000D379D" w:rsidRDefault="006E14ED"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Principales resultados esperados</w:t>
            </w:r>
          </w:p>
        </w:tc>
      </w:tr>
      <w:tr w:rsidR="006E14ED" w:rsidRPr="000D379D" w14:paraId="59021E32" w14:textId="77777777">
        <w:trPr>
          <w:tblCellSpacing w:w="15" w:type="dxa"/>
        </w:trPr>
        <w:tc>
          <w:tcPr>
            <w:tcW w:w="0" w:type="auto"/>
            <w:vAlign w:val="center"/>
            <w:hideMark/>
          </w:tcPr>
          <w:p w14:paraId="7C57F86B"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Colombia</w:t>
            </w:r>
          </w:p>
        </w:tc>
        <w:tc>
          <w:tcPr>
            <w:tcW w:w="0" w:type="auto"/>
            <w:vAlign w:val="center"/>
            <w:hideMark/>
          </w:tcPr>
          <w:p w14:paraId="55E212E9"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Fortalecimiento de la educación superior y competencias para la productividad</w:t>
            </w:r>
          </w:p>
        </w:tc>
        <w:tc>
          <w:tcPr>
            <w:tcW w:w="0" w:type="auto"/>
            <w:vAlign w:val="center"/>
            <w:hideMark/>
          </w:tcPr>
          <w:p w14:paraId="5CFC602A"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Mejora de calidad, pertinencia e innovación</w:t>
            </w:r>
          </w:p>
        </w:tc>
      </w:tr>
      <w:tr w:rsidR="006E14ED" w:rsidRPr="000D379D" w14:paraId="4F215BB9" w14:textId="77777777">
        <w:trPr>
          <w:tblCellSpacing w:w="15" w:type="dxa"/>
        </w:trPr>
        <w:tc>
          <w:tcPr>
            <w:tcW w:w="0" w:type="auto"/>
            <w:vAlign w:val="center"/>
            <w:hideMark/>
          </w:tcPr>
          <w:p w14:paraId="414D566E"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Brasil</w:t>
            </w:r>
          </w:p>
        </w:tc>
        <w:tc>
          <w:tcPr>
            <w:tcW w:w="0" w:type="auto"/>
            <w:vAlign w:val="center"/>
            <w:hideMark/>
          </w:tcPr>
          <w:p w14:paraId="4EF993E0"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Innovación educativa y transformación digital</w:t>
            </w:r>
          </w:p>
        </w:tc>
        <w:tc>
          <w:tcPr>
            <w:tcW w:w="0" w:type="auto"/>
            <w:vAlign w:val="center"/>
            <w:hideMark/>
          </w:tcPr>
          <w:p w14:paraId="57AAD104"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Modernización de sistemas educativos</w:t>
            </w:r>
          </w:p>
        </w:tc>
      </w:tr>
      <w:tr w:rsidR="006E14ED" w:rsidRPr="000D379D" w14:paraId="4ADEC76B" w14:textId="77777777">
        <w:trPr>
          <w:tblCellSpacing w:w="15" w:type="dxa"/>
        </w:trPr>
        <w:tc>
          <w:tcPr>
            <w:tcW w:w="0" w:type="auto"/>
            <w:vAlign w:val="center"/>
            <w:hideMark/>
          </w:tcPr>
          <w:p w14:paraId="4DC896CE"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Chile</w:t>
            </w:r>
          </w:p>
        </w:tc>
        <w:tc>
          <w:tcPr>
            <w:tcW w:w="0" w:type="auto"/>
            <w:vAlign w:val="center"/>
            <w:hideMark/>
          </w:tcPr>
          <w:p w14:paraId="234E4B6F"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Ciencia, innovación y fortalecimiento universitario</w:t>
            </w:r>
          </w:p>
        </w:tc>
        <w:tc>
          <w:tcPr>
            <w:tcW w:w="0" w:type="auto"/>
            <w:vAlign w:val="center"/>
            <w:hideMark/>
          </w:tcPr>
          <w:p w14:paraId="0DB098B3"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Incremento de capacidades de investigación</w:t>
            </w:r>
          </w:p>
        </w:tc>
      </w:tr>
      <w:tr w:rsidR="006E14ED" w:rsidRPr="000D379D" w14:paraId="1C37DA01" w14:textId="77777777">
        <w:trPr>
          <w:tblCellSpacing w:w="15" w:type="dxa"/>
        </w:trPr>
        <w:tc>
          <w:tcPr>
            <w:tcW w:w="0" w:type="auto"/>
            <w:vAlign w:val="center"/>
            <w:hideMark/>
          </w:tcPr>
          <w:p w14:paraId="5F953D25"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Uruguay</w:t>
            </w:r>
          </w:p>
        </w:tc>
        <w:tc>
          <w:tcPr>
            <w:tcW w:w="0" w:type="auto"/>
            <w:vAlign w:val="center"/>
            <w:hideMark/>
          </w:tcPr>
          <w:p w14:paraId="7B579625"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Digitalización educativa y aprendizaje digital</w:t>
            </w:r>
          </w:p>
        </w:tc>
        <w:tc>
          <w:tcPr>
            <w:tcW w:w="0" w:type="auto"/>
            <w:vAlign w:val="center"/>
            <w:hideMark/>
          </w:tcPr>
          <w:p w14:paraId="6A28043F"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Consolidación de modelos híbridos</w:t>
            </w:r>
          </w:p>
        </w:tc>
      </w:tr>
      <w:tr w:rsidR="006E14ED" w:rsidRPr="000D379D" w14:paraId="288614DE" w14:textId="77777777">
        <w:trPr>
          <w:tblCellSpacing w:w="15" w:type="dxa"/>
        </w:trPr>
        <w:tc>
          <w:tcPr>
            <w:tcW w:w="0" w:type="auto"/>
            <w:vAlign w:val="center"/>
            <w:hideMark/>
          </w:tcPr>
          <w:p w14:paraId="25B3082B"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República Dominicana</w:t>
            </w:r>
          </w:p>
        </w:tc>
        <w:tc>
          <w:tcPr>
            <w:tcW w:w="0" w:type="auto"/>
            <w:vAlign w:val="center"/>
            <w:hideMark/>
          </w:tcPr>
          <w:p w14:paraId="604D2F1D"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Calidad educativa y formación docente</w:t>
            </w:r>
          </w:p>
        </w:tc>
        <w:tc>
          <w:tcPr>
            <w:tcW w:w="0" w:type="auto"/>
            <w:vAlign w:val="center"/>
            <w:hideMark/>
          </w:tcPr>
          <w:p w14:paraId="0C154F0B"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Mejora de aprendizajes</w:t>
            </w:r>
          </w:p>
        </w:tc>
      </w:tr>
      <w:tr w:rsidR="006E14ED" w:rsidRPr="000D379D" w14:paraId="2EC765D0" w14:textId="77777777">
        <w:trPr>
          <w:tblCellSpacing w:w="15" w:type="dxa"/>
        </w:trPr>
        <w:tc>
          <w:tcPr>
            <w:tcW w:w="0" w:type="auto"/>
            <w:vAlign w:val="center"/>
            <w:hideMark/>
          </w:tcPr>
          <w:p w14:paraId="3ADB4125"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Jamaica</w:t>
            </w:r>
          </w:p>
        </w:tc>
        <w:tc>
          <w:tcPr>
            <w:tcW w:w="0" w:type="auto"/>
            <w:vAlign w:val="center"/>
            <w:hideMark/>
          </w:tcPr>
          <w:p w14:paraId="085F00A3"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Educación técnica y formación para el empleo</w:t>
            </w:r>
          </w:p>
        </w:tc>
        <w:tc>
          <w:tcPr>
            <w:tcW w:w="0" w:type="auto"/>
            <w:vAlign w:val="center"/>
            <w:hideMark/>
          </w:tcPr>
          <w:p w14:paraId="3FA818AC"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Desarrollo de competencias laborales</w:t>
            </w:r>
          </w:p>
        </w:tc>
      </w:tr>
      <w:tr w:rsidR="006E14ED" w:rsidRPr="000D379D" w14:paraId="2A943DE1" w14:textId="77777777">
        <w:trPr>
          <w:tblCellSpacing w:w="15" w:type="dxa"/>
        </w:trPr>
        <w:tc>
          <w:tcPr>
            <w:tcW w:w="0" w:type="auto"/>
            <w:vAlign w:val="center"/>
            <w:hideMark/>
          </w:tcPr>
          <w:p w14:paraId="3299A28C"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Perú</w:t>
            </w:r>
          </w:p>
        </w:tc>
        <w:tc>
          <w:tcPr>
            <w:tcW w:w="0" w:type="auto"/>
            <w:vAlign w:val="center"/>
            <w:hideMark/>
          </w:tcPr>
          <w:p w14:paraId="4AFDA15C"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Recuperación de aprendizajes y gestión educativa</w:t>
            </w:r>
          </w:p>
        </w:tc>
        <w:tc>
          <w:tcPr>
            <w:tcW w:w="0" w:type="auto"/>
            <w:vAlign w:val="center"/>
            <w:hideMark/>
          </w:tcPr>
          <w:p w14:paraId="7F2431B7"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Reducción de pérdidas educativas</w:t>
            </w:r>
          </w:p>
        </w:tc>
      </w:tr>
      <w:tr w:rsidR="006E14ED" w:rsidRPr="000D379D" w14:paraId="72683C6F" w14:textId="77777777">
        <w:trPr>
          <w:tblCellSpacing w:w="15" w:type="dxa"/>
        </w:trPr>
        <w:tc>
          <w:tcPr>
            <w:tcW w:w="0" w:type="auto"/>
            <w:vAlign w:val="center"/>
            <w:hideMark/>
          </w:tcPr>
          <w:p w14:paraId="1416B915"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Ecuador</w:t>
            </w:r>
          </w:p>
        </w:tc>
        <w:tc>
          <w:tcPr>
            <w:tcW w:w="0" w:type="auto"/>
            <w:vAlign w:val="center"/>
            <w:hideMark/>
          </w:tcPr>
          <w:p w14:paraId="46C71406"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Modernización institucional y educación superior</w:t>
            </w:r>
          </w:p>
        </w:tc>
        <w:tc>
          <w:tcPr>
            <w:tcW w:w="0" w:type="auto"/>
            <w:vAlign w:val="center"/>
            <w:hideMark/>
          </w:tcPr>
          <w:p w14:paraId="5E580943"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Fortalecimiento de capacidades universitarias</w:t>
            </w:r>
          </w:p>
        </w:tc>
      </w:tr>
    </w:tbl>
    <w:p w14:paraId="640625F7"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4.8 Principales logros identificados</w:t>
      </w:r>
    </w:p>
    <w:p w14:paraId="5AEB5D7B"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Del análisis de los programas implementados pueden destacarse los siguientes avances:</w:t>
      </w:r>
    </w:p>
    <w:p w14:paraId="126E0EFA" w14:textId="77777777" w:rsidR="006E14ED" w:rsidRPr="000D379D" w:rsidRDefault="006E14ED" w:rsidP="00EC070D">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mayor incorporación de evidencia en el diseño de políticas; </w:t>
      </w:r>
    </w:p>
    <w:p w14:paraId="234157C0" w14:textId="77777777" w:rsidR="006E14ED" w:rsidRPr="000D379D" w:rsidRDefault="006E14ED" w:rsidP="00EC070D">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institucional de ministerios de educación; </w:t>
      </w:r>
    </w:p>
    <w:p w14:paraId="1CD02CCE" w14:textId="77777777" w:rsidR="006E14ED" w:rsidRPr="000D379D" w:rsidRDefault="006E14ED" w:rsidP="00EC070D">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aceleración de la transformación digital; </w:t>
      </w:r>
    </w:p>
    <w:p w14:paraId="79539C52" w14:textId="77777777" w:rsidR="006E14ED" w:rsidRPr="000D379D" w:rsidRDefault="006E14ED" w:rsidP="00EC070D">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impulso a competencias digitales; </w:t>
      </w:r>
    </w:p>
    <w:p w14:paraId="17A0EC8E" w14:textId="77777777" w:rsidR="006E14ED" w:rsidRPr="000D379D" w:rsidRDefault="006E14ED" w:rsidP="00EC070D">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universidades; </w:t>
      </w:r>
    </w:p>
    <w:p w14:paraId="139FB351" w14:textId="77777777" w:rsidR="006E14ED" w:rsidRPr="000D379D" w:rsidRDefault="006E14ED" w:rsidP="00EC070D">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promoción de innovación educativa; </w:t>
      </w:r>
    </w:p>
    <w:p w14:paraId="70AEF8F3" w14:textId="77777777" w:rsidR="006E14ED" w:rsidRPr="000D379D" w:rsidRDefault="006E14ED" w:rsidP="00EC070D">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mayor articulación entre educación y productividad; </w:t>
      </w:r>
    </w:p>
    <w:p w14:paraId="039169E8" w14:textId="77777777" w:rsidR="006E14ED" w:rsidRPr="000D379D" w:rsidRDefault="006E14ED" w:rsidP="00EC070D">
      <w:pPr>
        <w:numPr>
          <w:ilvl w:val="0"/>
          <w:numId w:val="2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generación de conocimiento regional mediante investigaciones y publicaciones. </w:t>
      </w:r>
    </w:p>
    <w:p w14:paraId="06F9022F"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4.9 Principales limitaciones observadas</w:t>
      </w:r>
    </w:p>
    <w:p w14:paraId="19D5878A"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Pese a estos avances, persisten desafíos importantes:</w:t>
      </w:r>
    </w:p>
    <w:p w14:paraId="2FBD7108" w14:textId="77777777" w:rsidR="006E14ED" w:rsidRPr="000D379D" w:rsidRDefault="006E14ED" w:rsidP="00EC070D">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alta heterogeneidad entre países; </w:t>
      </w:r>
    </w:p>
    <w:p w14:paraId="11A606B7" w14:textId="77777777" w:rsidR="006E14ED" w:rsidRPr="000D379D" w:rsidRDefault="006E14ED" w:rsidP="00EC070D">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insuficiente capacidad institucional para ejecutar reformas complejas; </w:t>
      </w:r>
    </w:p>
    <w:p w14:paraId="295C66E9" w14:textId="77777777" w:rsidR="006E14ED" w:rsidRPr="000D379D" w:rsidRDefault="006E14ED" w:rsidP="00EC070D">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dependencia de ciclos políticos; </w:t>
      </w:r>
    </w:p>
    <w:p w14:paraId="58E4B69C" w14:textId="77777777" w:rsidR="006E14ED" w:rsidRPr="000D379D" w:rsidRDefault="006E14ED" w:rsidP="00EC070D">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baja sostenibilidad financiera de algunas iniciativas; </w:t>
      </w:r>
    </w:p>
    <w:p w14:paraId="593E60D4" w14:textId="77777777" w:rsidR="006E14ED" w:rsidRPr="000D379D" w:rsidRDefault="006E14ED" w:rsidP="00EC070D">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escasa articulación entre educación superior y sistemas nacionales de innovación; </w:t>
      </w:r>
    </w:p>
    <w:p w14:paraId="49157CE8" w14:textId="77777777" w:rsidR="006E14ED" w:rsidRPr="000D379D" w:rsidRDefault="006E14ED" w:rsidP="00EC070D">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persistencia de brechas digitales; </w:t>
      </w:r>
    </w:p>
    <w:p w14:paraId="5865AC97" w14:textId="77777777" w:rsidR="006E14ED" w:rsidRPr="000D379D" w:rsidRDefault="006E14ED" w:rsidP="00EC070D">
      <w:pPr>
        <w:numPr>
          <w:ilvl w:val="0"/>
          <w:numId w:val="2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limitada evaluación de impacto de largo plazo. </w:t>
      </w:r>
    </w:p>
    <w:p w14:paraId="0B74A89C"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Cuadro sintético de programas analizados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6"/>
        <w:gridCol w:w="2275"/>
        <w:gridCol w:w="1888"/>
        <w:gridCol w:w="2489"/>
      </w:tblGrid>
      <w:tr w:rsidR="006E14ED" w:rsidRPr="000D379D" w14:paraId="2D4BFD6A" w14:textId="77777777">
        <w:trPr>
          <w:tblHeader/>
          <w:tblCellSpacing w:w="15" w:type="dxa"/>
        </w:trPr>
        <w:tc>
          <w:tcPr>
            <w:tcW w:w="0" w:type="auto"/>
            <w:vAlign w:val="center"/>
            <w:hideMark/>
          </w:tcPr>
          <w:p w14:paraId="15751CE6" w14:textId="77777777" w:rsidR="006E14ED" w:rsidRPr="000D379D" w:rsidRDefault="006E14ED"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lastRenderedPageBreak/>
              <w:t>Programa o línea de acción</w:t>
            </w:r>
          </w:p>
        </w:tc>
        <w:tc>
          <w:tcPr>
            <w:tcW w:w="0" w:type="auto"/>
            <w:vAlign w:val="center"/>
            <w:hideMark/>
          </w:tcPr>
          <w:p w14:paraId="48E26E2F" w14:textId="77777777" w:rsidR="006E14ED" w:rsidRPr="000D379D" w:rsidRDefault="006E14ED"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Objetivo</w:t>
            </w:r>
          </w:p>
        </w:tc>
        <w:tc>
          <w:tcPr>
            <w:tcW w:w="0" w:type="auto"/>
            <w:vAlign w:val="center"/>
            <w:hideMark/>
          </w:tcPr>
          <w:p w14:paraId="31A9D79E" w14:textId="77777777" w:rsidR="006E14ED" w:rsidRPr="000D379D" w:rsidRDefault="006E14ED"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Fortalezas</w:t>
            </w:r>
          </w:p>
        </w:tc>
        <w:tc>
          <w:tcPr>
            <w:tcW w:w="0" w:type="auto"/>
            <w:vAlign w:val="center"/>
            <w:hideMark/>
          </w:tcPr>
          <w:p w14:paraId="5BC19A5E" w14:textId="77777777" w:rsidR="006E14ED" w:rsidRPr="000D379D" w:rsidRDefault="006E14ED"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Aspectos por mejorar</w:t>
            </w:r>
          </w:p>
        </w:tc>
      </w:tr>
      <w:tr w:rsidR="006E14ED" w:rsidRPr="000D379D" w14:paraId="5FBB9FFC" w14:textId="77777777">
        <w:trPr>
          <w:tblCellSpacing w:w="15" w:type="dxa"/>
        </w:trPr>
        <w:tc>
          <w:tcPr>
            <w:tcW w:w="0" w:type="auto"/>
            <w:vAlign w:val="center"/>
            <w:hideMark/>
          </w:tcPr>
          <w:p w14:paraId="5745893F"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Recuperación de aprendizajes</w:t>
            </w:r>
          </w:p>
        </w:tc>
        <w:tc>
          <w:tcPr>
            <w:tcW w:w="0" w:type="auto"/>
            <w:vAlign w:val="center"/>
            <w:hideMark/>
          </w:tcPr>
          <w:p w14:paraId="21AF2981"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Reducir pérdidas educativas</w:t>
            </w:r>
          </w:p>
        </w:tc>
        <w:tc>
          <w:tcPr>
            <w:tcW w:w="0" w:type="auto"/>
            <w:vAlign w:val="center"/>
            <w:hideMark/>
          </w:tcPr>
          <w:p w14:paraId="57D7F7C1"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Basado en evidencia</w:t>
            </w:r>
          </w:p>
        </w:tc>
        <w:tc>
          <w:tcPr>
            <w:tcW w:w="0" w:type="auto"/>
            <w:vAlign w:val="center"/>
            <w:hideMark/>
          </w:tcPr>
          <w:p w14:paraId="1348824E"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Escalabilidad y continuidad</w:t>
            </w:r>
          </w:p>
        </w:tc>
      </w:tr>
      <w:tr w:rsidR="006E14ED" w:rsidRPr="000D379D" w14:paraId="0CE762DB" w14:textId="77777777">
        <w:trPr>
          <w:tblCellSpacing w:w="15" w:type="dxa"/>
        </w:trPr>
        <w:tc>
          <w:tcPr>
            <w:tcW w:w="0" w:type="auto"/>
            <w:vAlign w:val="center"/>
            <w:hideMark/>
          </w:tcPr>
          <w:p w14:paraId="3BF5627C"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Formación docente</w:t>
            </w:r>
          </w:p>
        </w:tc>
        <w:tc>
          <w:tcPr>
            <w:tcW w:w="0" w:type="auto"/>
            <w:vAlign w:val="center"/>
            <w:hideMark/>
          </w:tcPr>
          <w:p w14:paraId="4FD00404"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Mejorar calidad educativa</w:t>
            </w:r>
          </w:p>
        </w:tc>
        <w:tc>
          <w:tcPr>
            <w:tcW w:w="0" w:type="auto"/>
            <w:vAlign w:val="center"/>
            <w:hideMark/>
          </w:tcPr>
          <w:p w14:paraId="7A36E68A"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Desarrollo profesional</w:t>
            </w:r>
          </w:p>
        </w:tc>
        <w:tc>
          <w:tcPr>
            <w:tcW w:w="0" w:type="auto"/>
            <w:vAlign w:val="center"/>
            <w:hideMark/>
          </w:tcPr>
          <w:p w14:paraId="27373B37"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Seguimiento a la práctica docente</w:t>
            </w:r>
          </w:p>
        </w:tc>
      </w:tr>
      <w:tr w:rsidR="006E14ED" w:rsidRPr="000D379D" w14:paraId="0BB48A55" w14:textId="77777777">
        <w:trPr>
          <w:tblCellSpacing w:w="15" w:type="dxa"/>
        </w:trPr>
        <w:tc>
          <w:tcPr>
            <w:tcW w:w="0" w:type="auto"/>
            <w:vAlign w:val="center"/>
            <w:hideMark/>
          </w:tcPr>
          <w:p w14:paraId="23C8360A"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Transformación digital</w:t>
            </w:r>
          </w:p>
        </w:tc>
        <w:tc>
          <w:tcPr>
            <w:tcW w:w="0" w:type="auto"/>
            <w:vAlign w:val="center"/>
            <w:hideMark/>
          </w:tcPr>
          <w:p w14:paraId="52CDE63D"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Modernizar sistemas educativos</w:t>
            </w:r>
          </w:p>
        </w:tc>
        <w:tc>
          <w:tcPr>
            <w:tcW w:w="0" w:type="auto"/>
            <w:vAlign w:val="center"/>
            <w:hideMark/>
          </w:tcPr>
          <w:p w14:paraId="40068C60"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Innovación tecnológica</w:t>
            </w:r>
          </w:p>
        </w:tc>
        <w:tc>
          <w:tcPr>
            <w:tcW w:w="0" w:type="auto"/>
            <w:vAlign w:val="center"/>
            <w:hideMark/>
          </w:tcPr>
          <w:p w14:paraId="56440D06"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Inclusión digital</w:t>
            </w:r>
          </w:p>
        </w:tc>
      </w:tr>
      <w:tr w:rsidR="006E14ED" w:rsidRPr="000D379D" w14:paraId="16FC0A06" w14:textId="77777777">
        <w:trPr>
          <w:tblCellSpacing w:w="15" w:type="dxa"/>
        </w:trPr>
        <w:tc>
          <w:tcPr>
            <w:tcW w:w="0" w:type="auto"/>
            <w:vAlign w:val="center"/>
            <w:hideMark/>
          </w:tcPr>
          <w:p w14:paraId="282B889E"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Educación superior</w:t>
            </w:r>
          </w:p>
        </w:tc>
        <w:tc>
          <w:tcPr>
            <w:tcW w:w="0" w:type="auto"/>
            <w:vAlign w:val="center"/>
            <w:hideMark/>
          </w:tcPr>
          <w:p w14:paraId="2924CF8B"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Fortalecer universidades</w:t>
            </w:r>
          </w:p>
        </w:tc>
        <w:tc>
          <w:tcPr>
            <w:tcW w:w="0" w:type="auto"/>
            <w:vAlign w:val="center"/>
            <w:hideMark/>
          </w:tcPr>
          <w:p w14:paraId="043ADF8A"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Calidad e innovación</w:t>
            </w:r>
          </w:p>
        </w:tc>
        <w:tc>
          <w:tcPr>
            <w:tcW w:w="0" w:type="auto"/>
            <w:vAlign w:val="center"/>
            <w:hideMark/>
          </w:tcPr>
          <w:p w14:paraId="619E7504"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Reducción de brechas institucionales</w:t>
            </w:r>
          </w:p>
        </w:tc>
      </w:tr>
      <w:tr w:rsidR="006E14ED" w:rsidRPr="000D379D" w14:paraId="45D5FD4E" w14:textId="77777777">
        <w:trPr>
          <w:tblCellSpacing w:w="15" w:type="dxa"/>
        </w:trPr>
        <w:tc>
          <w:tcPr>
            <w:tcW w:w="0" w:type="auto"/>
            <w:vAlign w:val="center"/>
            <w:hideMark/>
          </w:tcPr>
          <w:p w14:paraId="5E194D69"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Investigación</w:t>
            </w:r>
          </w:p>
        </w:tc>
        <w:tc>
          <w:tcPr>
            <w:tcW w:w="0" w:type="auto"/>
            <w:vAlign w:val="center"/>
            <w:hideMark/>
          </w:tcPr>
          <w:p w14:paraId="0BBBAF0E"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Incrementar producción científica</w:t>
            </w:r>
          </w:p>
        </w:tc>
        <w:tc>
          <w:tcPr>
            <w:tcW w:w="0" w:type="auto"/>
            <w:vAlign w:val="center"/>
            <w:hideMark/>
          </w:tcPr>
          <w:p w14:paraId="3A3773DE"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Cooperación internacional</w:t>
            </w:r>
          </w:p>
        </w:tc>
        <w:tc>
          <w:tcPr>
            <w:tcW w:w="0" w:type="auto"/>
            <w:vAlign w:val="center"/>
            <w:hideMark/>
          </w:tcPr>
          <w:p w14:paraId="7C64E5EF"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Financiamiento sostenido</w:t>
            </w:r>
          </w:p>
        </w:tc>
      </w:tr>
      <w:tr w:rsidR="006E14ED" w:rsidRPr="000D379D" w14:paraId="04908262" w14:textId="77777777">
        <w:trPr>
          <w:tblCellSpacing w:w="15" w:type="dxa"/>
        </w:trPr>
        <w:tc>
          <w:tcPr>
            <w:tcW w:w="0" w:type="auto"/>
            <w:vAlign w:val="center"/>
            <w:hideMark/>
          </w:tcPr>
          <w:p w14:paraId="3D63805D"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Formación para el empleo</w:t>
            </w:r>
          </w:p>
        </w:tc>
        <w:tc>
          <w:tcPr>
            <w:tcW w:w="0" w:type="auto"/>
            <w:vAlign w:val="center"/>
            <w:hideMark/>
          </w:tcPr>
          <w:p w14:paraId="2D404042"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Competencias del siglo XXI</w:t>
            </w:r>
          </w:p>
        </w:tc>
        <w:tc>
          <w:tcPr>
            <w:tcW w:w="0" w:type="auto"/>
            <w:vAlign w:val="center"/>
            <w:hideMark/>
          </w:tcPr>
          <w:p w14:paraId="14EE00F7"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Mayor pertinencia</w:t>
            </w:r>
          </w:p>
        </w:tc>
        <w:tc>
          <w:tcPr>
            <w:tcW w:w="0" w:type="auto"/>
            <w:vAlign w:val="center"/>
            <w:hideMark/>
          </w:tcPr>
          <w:p w14:paraId="09A7C72B" w14:textId="77777777" w:rsidR="006E14ED" w:rsidRPr="000D379D" w:rsidRDefault="006E14ED"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Vinculación con demanda laboral</w:t>
            </w:r>
          </w:p>
        </w:tc>
      </w:tr>
    </w:tbl>
    <w:p w14:paraId="48C2F2D3" w14:textId="77777777" w:rsidR="006E14ED" w:rsidRPr="000D379D" w:rsidRDefault="006E14ED"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Reflexión crítica del capítulo</w:t>
      </w:r>
    </w:p>
    <w:p w14:paraId="79EA658F"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análisis de la cartera de programas implementados por el BID entre 2021 y 2026 evidencia un cambio de paradigma en la cooperación internacional para el desarrollo educativo. Las intervenciones ya no se limitan al financiamiento de infraestructura o a la expansión de cobertura, sino que buscan fortalecer las capacidades institucionales, promover la innovación y mejorar la calidad de los aprendizajes mediante políticas sustentadas en evidencia.</w:t>
      </w:r>
    </w:p>
    <w:p w14:paraId="30472825" w14:textId="77777777" w:rsidR="006E14ED" w:rsidRPr="000D379D" w:rsidRDefault="006E14ED"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No obstante, el éxito de estas iniciativas continúa condicionado por factores estructurales que trascienden la acción del Banco, como la estabilidad política, la capacidad de gestión de los gobiernos, la disponibilidad de recursos nacionales y las persistentes desigualdades territoriales. En consecuencia, el desafío no radica únicamente en diseñar programas técnicamente sólidos, sino en asegurar su apropiación por parte de las instituciones nacionales y su sostenibilidad en el largo plazo.</w:t>
      </w:r>
    </w:p>
    <w:p w14:paraId="4192099C" w14:textId="77777777" w:rsidR="00EC73EA" w:rsidRPr="000D379D" w:rsidRDefault="00EC73EA"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Capítulo 5. Ciencia, Tecnología e Innovación (CTI): estrategias, programas y acciones del BID</w:t>
      </w:r>
    </w:p>
    <w:p w14:paraId="5C67286C"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 Ciencia, Tecnología e Innovación: una prioridad para el desarrollo regional</w:t>
      </w:r>
    </w:p>
    <w:p w14:paraId="7C86A407"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Durante el período 2021–2026, el Banco Interamericano de Desarrollo (BID) consolidó la ciencia, la tecnología y la innovación (CTI) como un componente transversal de su estrategia de desarrollo. Esta orientación respondió al reconocimiento de que América Latina y el Caribe enfrenta un rezago estructural en productividad, diversificación económica y generación de conocimiento, asociado, entre otros factores, a la baja inversión en investigación y desarrollo (I+D), la limitada transferencia tecnológica y la débil articulación entre universidades, empresas y gobiernos.</w:t>
      </w:r>
    </w:p>
    <w:p w14:paraId="544F96DB"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En este contexto, el BID promovió un enfoque sistémico que busca fortalecer los ecosistemas nacionales y regionales de innovación, entendidos como redes de instituciones, actores y </w:t>
      </w:r>
      <w:r w:rsidRPr="000D379D">
        <w:rPr>
          <w:rFonts w:eastAsia="Times New Roman" w:cs="Times New Roman"/>
          <w:kern w:val="0"/>
          <w:lang w:eastAsia="es-CO"/>
          <w14:ligatures w14:val="none"/>
        </w:rPr>
        <w:lastRenderedPageBreak/>
        <w:t>políticas capaces de transformar conocimiento en valor económico y social. La estrategia reconoce que el desarrollo de capacidades científicas y tecnológicas es una condición indispensable para avanzar hacia economías más competitivas, sostenibles e inclusivas.</w:t>
      </w:r>
    </w:p>
    <w:p w14:paraId="1F3C0C25"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5.1 Fortalecimiento de los sistemas nacionales de innovación</w:t>
      </w:r>
    </w:p>
    <w:p w14:paraId="5DAAA674"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Una de las principales líneas de acción del BID ha sido el apoyo a la modernización de los sistemas nacionales de innovación mediante:</w:t>
      </w:r>
    </w:p>
    <w:p w14:paraId="76C0A720" w14:textId="77777777" w:rsidR="00EC73EA" w:rsidRPr="000D379D" w:rsidRDefault="00EC73EA" w:rsidP="00EC070D">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institucional de ministerios y agencias de ciencia, tecnología e innovación; </w:t>
      </w:r>
    </w:p>
    <w:p w14:paraId="57D8618C" w14:textId="77777777" w:rsidR="00EC73EA" w:rsidRPr="000D379D" w:rsidRDefault="00EC73EA" w:rsidP="00EC070D">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diseño y evaluación de políticas públicas de CTI; </w:t>
      </w:r>
    </w:p>
    <w:p w14:paraId="2323197E" w14:textId="77777777" w:rsidR="00EC73EA" w:rsidRPr="000D379D" w:rsidRDefault="00EC73EA" w:rsidP="00EC070D">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creación o consolidación de fondos competitivos para investigación; </w:t>
      </w:r>
    </w:p>
    <w:p w14:paraId="1495C441" w14:textId="77777777" w:rsidR="00EC73EA" w:rsidRPr="000D379D" w:rsidRDefault="00EC73EA" w:rsidP="00EC070D">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sistemas de información y monitoreo; </w:t>
      </w:r>
    </w:p>
    <w:p w14:paraId="50969E0C" w14:textId="77777777" w:rsidR="00EC73EA" w:rsidRPr="000D379D" w:rsidRDefault="00EC73EA" w:rsidP="00EC070D">
      <w:pPr>
        <w:numPr>
          <w:ilvl w:val="0"/>
          <w:numId w:val="24"/>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desarrollo de capacidades para la gestión de la innovación. </w:t>
      </w:r>
    </w:p>
    <w:p w14:paraId="3D3A012F"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Banco ha promovido una gobernanza más coordinada entre los diferentes actores del sistema, buscando reducir la fragmentación institucional que caracteriza a numerosos países de la región.</w:t>
      </w:r>
    </w:p>
    <w:p w14:paraId="754C4535" w14:textId="77777777" w:rsidR="00EC73EA" w:rsidRPr="000D379D" w:rsidRDefault="00EC73EA"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0A07F9FE"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fortalecimiento institucional constituye una de las contribuciones más relevantes del BID, ya que permite generar capacidades permanentes más allá de la ejecución de proyectos específicos. Sin embargo, en varios países la continuidad de las políticas de CTI sigue siendo vulnerable a los cambios de gobierno y a restricciones fiscales, lo que limita la consolidación de procesos de largo plazo.</w:t>
      </w:r>
    </w:p>
    <w:p w14:paraId="112ADDD6"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5.2 Investigación científica y desarrollo tecnológico</w:t>
      </w:r>
    </w:p>
    <w:p w14:paraId="348D1CE8"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ha financiado iniciativas orientadas a fortalecer la investigación científica, especialmente en áreas estratégicas para el desarrollo regional, tales como:</w:t>
      </w:r>
    </w:p>
    <w:p w14:paraId="249AB2AB" w14:textId="77777777" w:rsidR="00EC73EA" w:rsidRPr="000D379D" w:rsidRDefault="00EC73EA" w:rsidP="00EC070D">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salud; </w:t>
      </w:r>
    </w:p>
    <w:p w14:paraId="5DC52169" w14:textId="77777777" w:rsidR="00EC73EA" w:rsidRPr="000D379D" w:rsidRDefault="00EC73EA" w:rsidP="00EC070D">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agricultura sostenible; </w:t>
      </w:r>
    </w:p>
    <w:p w14:paraId="6E9FAA6F" w14:textId="77777777" w:rsidR="00EC73EA" w:rsidRPr="000D379D" w:rsidRDefault="00EC73EA" w:rsidP="00EC070D">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cambio climático; </w:t>
      </w:r>
    </w:p>
    <w:p w14:paraId="7E5A56BC" w14:textId="77777777" w:rsidR="00EC73EA" w:rsidRPr="000D379D" w:rsidRDefault="00EC73EA" w:rsidP="00EC070D">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biodiversidad; </w:t>
      </w:r>
    </w:p>
    <w:p w14:paraId="6ABE7895" w14:textId="77777777" w:rsidR="00EC73EA" w:rsidRPr="000D379D" w:rsidRDefault="00EC73EA" w:rsidP="00EC070D">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energías renovables; </w:t>
      </w:r>
    </w:p>
    <w:p w14:paraId="2824E9EF" w14:textId="77777777" w:rsidR="00EC73EA" w:rsidRPr="000D379D" w:rsidRDefault="00EC73EA" w:rsidP="00EC070D">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transformación digital; </w:t>
      </w:r>
    </w:p>
    <w:p w14:paraId="2B2F4EB1" w14:textId="77777777" w:rsidR="00EC73EA" w:rsidRPr="000D379D" w:rsidRDefault="00EC73EA" w:rsidP="00EC070D">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manufactura avanzada; </w:t>
      </w:r>
    </w:p>
    <w:p w14:paraId="50EAA01C" w14:textId="77777777" w:rsidR="00EC73EA" w:rsidRPr="000D379D" w:rsidRDefault="00EC73EA" w:rsidP="00EC070D">
      <w:pPr>
        <w:numPr>
          <w:ilvl w:val="0"/>
          <w:numId w:val="25"/>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economía circular. </w:t>
      </w:r>
    </w:p>
    <w:p w14:paraId="540D3AC5"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acciones incluyen financiamiento para infraestructura científica, redes de investigación, formación de investigadores y cooperación internacional.</w:t>
      </w:r>
    </w:p>
    <w:p w14:paraId="1A948749" w14:textId="77777777" w:rsidR="00EC73EA" w:rsidRPr="000D379D" w:rsidRDefault="00EC73EA"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4F16CEB0"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Aunque estas inversiones fortalecen las capacidades científicas, su escala continúa siendo insuficiente frente a las necesidades de la región. América Latina y el Caribe mantiene niveles de inversión en I+D considerablemente inferiores a los de economías líderes, lo que limita la generación de conocimiento y la innovación de alto impacto.</w:t>
      </w:r>
    </w:p>
    <w:p w14:paraId="6F702DD6"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5.3 Transformación digital e inteligencia artificial</w:t>
      </w:r>
    </w:p>
    <w:p w14:paraId="3D9B645A"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avance acelerado de la inteligencia artificial (IA), el análisis de datos y la automatización llevó al BID a incorporar estas tecnologías como ejes prioritarios de su agenda de desarrollo.</w:t>
      </w:r>
    </w:p>
    <w:p w14:paraId="0D65A30B"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principales iniciativas incluyen:</w:t>
      </w:r>
    </w:p>
    <w:p w14:paraId="0F2CA861" w14:textId="77777777" w:rsidR="00EC73EA" w:rsidRPr="000D379D" w:rsidRDefault="00EC73EA" w:rsidP="00EC070D">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apoyo a estrategias nacionales de transformación digital; </w:t>
      </w:r>
    </w:p>
    <w:p w14:paraId="3F443A60" w14:textId="77777777" w:rsidR="00EC73EA" w:rsidRPr="000D379D" w:rsidRDefault="00EC73EA" w:rsidP="00EC070D">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infraestructura digital; </w:t>
      </w:r>
    </w:p>
    <w:p w14:paraId="37804400" w14:textId="77777777" w:rsidR="00EC73EA" w:rsidRPr="000D379D" w:rsidRDefault="00EC73EA" w:rsidP="00EC070D">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desarrollo de capacidades en inteligencia artificial; </w:t>
      </w:r>
    </w:p>
    <w:p w14:paraId="4EBD86A5" w14:textId="77777777" w:rsidR="00EC73EA" w:rsidRPr="000D379D" w:rsidRDefault="00EC73EA" w:rsidP="00EC070D">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promoción del gobierno digital; </w:t>
      </w:r>
    </w:p>
    <w:p w14:paraId="57E34F31" w14:textId="77777777" w:rsidR="00EC73EA" w:rsidRPr="000D379D" w:rsidRDefault="00EC73EA" w:rsidP="00EC070D">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uso de analítica de datos para la formulación de políticas públicas; </w:t>
      </w:r>
    </w:p>
    <w:p w14:paraId="4661F02E" w14:textId="77777777" w:rsidR="00EC73EA" w:rsidRPr="000D379D" w:rsidRDefault="00EC73EA" w:rsidP="00EC070D">
      <w:pPr>
        <w:numPr>
          <w:ilvl w:val="0"/>
          <w:numId w:val="26"/>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competencias digitales avanzadas. </w:t>
      </w:r>
    </w:p>
    <w:p w14:paraId="3647E556"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Banco también ha promovido marcos para una adopción ética y responsable de la IA, enfatizando aspectos como la transparencia, la protección de datos, la inclusión y la reducción de sesgos algorítmicos.</w:t>
      </w:r>
    </w:p>
    <w:p w14:paraId="7F35D8CC" w14:textId="77777777" w:rsidR="00EC73EA" w:rsidRPr="000D379D" w:rsidRDefault="00EC73EA"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4FCB1207"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incorporación temprana de la inteligencia artificial en la agenda del BID demuestra capacidad de anticipación frente a las tendencias globales. Sin embargo, persisten desafíos relacionados con la disponibilidad de talento especializado, la infraestructura computacional y los marcos regulatorios necesarios para un uso seguro y responsable de estas tecnologías.</w:t>
      </w:r>
    </w:p>
    <w:p w14:paraId="02E7102C"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5.4 Innovación empresarial y emprendimiento</w:t>
      </w:r>
    </w:p>
    <w:p w14:paraId="756407D3"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Reconociendo que gran parte de la innovación se genera en el sector productivo, el BID fortaleció programas dirigidos a:</w:t>
      </w:r>
    </w:p>
    <w:p w14:paraId="198D316D" w14:textId="77777777" w:rsidR="00EC73EA" w:rsidRPr="000D379D" w:rsidRDefault="00EC73EA" w:rsidP="00EC070D">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emprendimientos de base tecnológica; </w:t>
      </w:r>
    </w:p>
    <w:p w14:paraId="58ADF23F" w14:textId="77777777" w:rsidR="00EC73EA" w:rsidRPr="000D379D" w:rsidRDefault="00EC73EA" w:rsidP="00EC070D">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pequeñas y medianas empresas innovadoras; </w:t>
      </w:r>
    </w:p>
    <w:p w14:paraId="243337F3" w14:textId="77777777" w:rsidR="00EC73EA" w:rsidRPr="000D379D" w:rsidRDefault="00EC73EA" w:rsidP="00EC070D">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aceleradoras e incubadoras; </w:t>
      </w:r>
    </w:p>
    <w:p w14:paraId="5BF62FAE" w14:textId="77777777" w:rsidR="00EC73EA" w:rsidRPr="000D379D" w:rsidRDefault="00EC73EA" w:rsidP="00EC070D">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innovación abierta; </w:t>
      </w:r>
    </w:p>
    <w:p w14:paraId="0E900E37" w14:textId="77777777" w:rsidR="00EC73EA" w:rsidRPr="000D379D" w:rsidRDefault="00EC73EA" w:rsidP="00EC070D">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transferencia tecnológica; </w:t>
      </w:r>
    </w:p>
    <w:p w14:paraId="477E0BF4" w14:textId="77777777" w:rsidR="00EC73EA" w:rsidRPr="000D379D" w:rsidRDefault="00EC73EA" w:rsidP="00EC070D">
      <w:pPr>
        <w:numPr>
          <w:ilvl w:val="0"/>
          <w:numId w:val="27"/>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acceso a financiamiento para empresas innovadoras. </w:t>
      </w:r>
    </w:p>
    <w:p w14:paraId="499D5D6A"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Asimismo, impulsó mecanismos de cooperación entre empresas, universidades y centros de investigación para facilitar el desarrollo de nuevos productos, procesos y servicios.</w:t>
      </w:r>
    </w:p>
    <w:p w14:paraId="35159A2E" w14:textId="77777777" w:rsidR="00EC73EA" w:rsidRPr="000D379D" w:rsidRDefault="00EC73EA"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18C8950E"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Estos programas han contribuido a dinamizar ecosistemas emprendedores en varios países. No obstante, el acceso al financiamiento para empresas intensivas en conocimiento sigue siendo limitado, especialmente en economías con mercados de capital poco desarrollados.</w:t>
      </w:r>
    </w:p>
    <w:p w14:paraId="590076B5"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5.5 Universidades como actores del ecosistema de innovación</w:t>
      </w:r>
    </w:p>
    <w:p w14:paraId="01D6DBF1"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ha reforzado el papel de las instituciones de educación superior como generadoras de conocimiento y promotoras del desarrollo regional.</w:t>
      </w:r>
    </w:p>
    <w:p w14:paraId="2AC06C64"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principales líneas de acción comprenden:</w:t>
      </w:r>
    </w:p>
    <w:p w14:paraId="330B08E1" w14:textId="77777777" w:rsidR="00EC73EA" w:rsidRPr="000D379D" w:rsidRDefault="00EC73EA" w:rsidP="00EC070D">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la investigación aplicada; </w:t>
      </w:r>
    </w:p>
    <w:p w14:paraId="49607455" w14:textId="77777777" w:rsidR="00EC73EA" w:rsidRPr="000D379D" w:rsidRDefault="00EC73EA" w:rsidP="00EC070D">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creación de oficinas de transferencia tecnológica; </w:t>
      </w:r>
    </w:p>
    <w:p w14:paraId="145BBD7E" w14:textId="77777777" w:rsidR="00EC73EA" w:rsidRPr="000D379D" w:rsidRDefault="00EC73EA" w:rsidP="00EC070D">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promoción del emprendimiento universitario; </w:t>
      </w:r>
    </w:p>
    <w:p w14:paraId="1E8151BC" w14:textId="77777777" w:rsidR="00EC73EA" w:rsidRPr="000D379D" w:rsidRDefault="00EC73EA" w:rsidP="00EC070D">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cooperación internacional; </w:t>
      </w:r>
    </w:p>
    <w:p w14:paraId="62294D4C" w14:textId="77777777" w:rsidR="00EC73EA" w:rsidRPr="000D379D" w:rsidRDefault="00EC73EA" w:rsidP="00EC070D">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redes académicas regionales; </w:t>
      </w:r>
    </w:p>
    <w:p w14:paraId="658738B2" w14:textId="77777777" w:rsidR="00EC73EA" w:rsidRPr="000D379D" w:rsidRDefault="00EC73EA" w:rsidP="00EC070D">
      <w:pPr>
        <w:numPr>
          <w:ilvl w:val="0"/>
          <w:numId w:val="28"/>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fortalecimiento de programas de doctorado y maestría. </w:t>
      </w:r>
    </w:p>
    <w:p w14:paraId="0F96E793" w14:textId="77777777" w:rsidR="00EC73EA" w:rsidRPr="000D379D" w:rsidRDefault="00EC73EA"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2B3E9CE3"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estrategia reconoce acertadamente el potencial de las universidades para impulsar la innovación. Sin embargo, muchas instituciones aún enfrentan limitaciones en capacidades de investigación, financiamiento y vinculación con el sector productivo, especialmente fuera de los principales centros urbanos.</w:t>
      </w:r>
    </w:p>
    <w:p w14:paraId="015944A9"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5.6 Desarrollo del talento para la economía del conocimiento</w:t>
      </w:r>
    </w:p>
    <w:p w14:paraId="58ABA8A9"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considera que el talento humano es el principal activo para la innovación. En consecuencia, ha promovido programas dirigidos al fortalecimiento de competencias en:</w:t>
      </w:r>
    </w:p>
    <w:p w14:paraId="4C724E1C"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ciencia; </w:t>
      </w:r>
    </w:p>
    <w:p w14:paraId="582B70FF"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tecnología; </w:t>
      </w:r>
    </w:p>
    <w:p w14:paraId="159AC4E6"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ingeniería; </w:t>
      </w:r>
    </w:p>
    <w:p w14:paraId="6D80725C"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matemáticas (STEM); </w:t>
      </w:r>
    </w:p>
    <w:p w14:paraId="73B02636"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programación; </w:t>
      </w:r>
    </w:p>
    <w:p w14:paraId="47B6C9F2"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ciencia de datos; </w:t>
      </w:r>
    </w:p>
    <w:p w14:paraId="4A6E2B25"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ciberseguridad; </w:t>
      </w:r>
    </w:p>
    <w:p w14:paraId="7F7A094C"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inteligencia artificial; </w:t>
      </w:r>
    </w:p>
    <w:p w14:paraId="07C3A72B" w14:textId="77777777" w:rsidR="00EC73EA" w:rsidRPr="000D379D" w:rsidRDefault="00EC73EA" w:rsidP="00EC070D">
      <w:pPr>
        <w:numPr>
          <w:ilvl w:val="0"/>
          <w:numId w:val="29"/>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innovación y emprendimiento. </w:t>
      </w:r>
    </w:p>
    <w:p w14:paraId="77F0C827"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También ha impulsado estrategias para incrementar la participación de mujeres y grupos históricamente subrepresentados en áreas STEM.</w:t>
      </w:r>
    </w:p>
    <w:p w14:paraId="6B3B6E76" w14:textId="77777777" w:rsidR="00EC73EA" w:rsidRPr="000D379D" w:rsidRDefault="00EC73EA"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Análisis crítico</w:t>
      </w:r>
    </w:p>
    <w:p w14:paraId="62098D17"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El fortalecimiento del talento constituye una inversión estratégica para la región. Sin embargo, la formación de profesionales altamente calificados debe complementarse con políticas que </w:t>
      </w:r>
      <w:r w:rsidRPr="000D379D">
        <w:rPr>
          <w:rFonts w:eastAsia="Times New Roman" w:cs="Times New Roman"/>
          <w:kern w:val="0"/>
          <w:lang w:eastAsia="es-CO"/>
          <w14:ligatures w14:val="none"/>
        </w:rPr>
        <w:lastRenderedPageBreak/>
        <w:t>generen oportunidades laborales y reduzcan la emigración de investigadores y especialistas, fenómeno que continúa afectando a numerosos países.</w:t>
      </w:r>
    </w:p>
    <w:p w14:paraId="18B1F4DE"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5.7 Estudios de caso representativos</w:t>
      </w:r>
    </w:p>
    <w:p w14:paraId="7E0BADF4"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Diversos países han desarrollado iniciativas con apoyo del BID que ilustran esta estrategia regional: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1"/>
        <w:gridCol w:w="4216"/>
        <w:gridCol w:w="2871"/>
      </w:tblGrid>
      <w:tr w:rsidR="00EC73EA" w:rsidRPr="000D379D" w14:paraId="7127DEA4" w14:textId="77777777">
        <w:trPr>
          <w:tblHeader/>
          <w:tblCellSpacing w:w="15" w:type="dxa"/>
        </w:trPr>
        <w:tc>
          <w:tcPr>
            <w:tcW w:w="0" w:type="auto"/>
            <w:vAlign w:val="center"/>
            <w:hideMark/>
          </w:tcPr>
          <w:p w14:paraId="211D6A85"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País</w:t>
            </w:r>
          </w:p>
        </w:tc>
        <w:tc>
          <w:tcPr>
            <w:tcW w:w="0" w:type="auto"/>
            <w:vAlign w:val="center"/>
            <w:hideMark/>
          </w:tcPr>
          <w:p w14:paraId="008C33FB"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Área de intervención</w:t>
            </w:r>
          </w:p>
        </w:tc>
        <w:tc>
          <w:tcPr>
            <w:tcW w:w="0" w:type="auto"/>
            <w:vAlign w:val="center"/>
            <w:hideMark/>
          </w:tcPr>
          <w:p w14:paraId="1DB2D87C"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Principales resultados esperados</w:t>
            </w:r>
          </w:p>
        </w:tc>
      </w:tr>
      <w:tr w:rsidR="00EC73EA" w:rsidRPr="000D379D" w14:paraId="3DF5E4A7" w14:textId="77777777">
        <w:trPr>
          <w:tblCellSpacing w:w="15" w:type="dxa"/>
        </w:trPr>
        <w:tc>
          <w:tcPr>
            <w:tcW w:w="0" w:type="auto"/>
            <w:vAlign w:val="center"/>
            <w:hideMark/>
          </w:tcPr>
          <w:p w14:paraId="21953DDE"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Chile</w:t>
            </w:r>
          </w:p>
        </w:tc>
        <w:tc>
          <w:tcPr>
            <w:tcW w:w="0" w:type="auto"/>
            <w:vAlign w:val="center"/>
            <w:hideMark/>
          </w:tcPr>
          <w:p w14:paraId="75732850"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Innovación empresarial y transferencia tecnológica</w:t>
            </w:r>
          </w:p>
        </w:tc>
        <w:tc>
          <w:tcPr>
            <w:tcW w:w="0" w:type="auto"/>
            <w:vAlign w:val="center"/>
            <w:hideMark/>
          </w:tcPr>
          <w:p w14:paraId="5DDE8DE1"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Mayor articulación universidad–empresa</w:t>
            </w:r>
          </w:p>
        </w:tc>
      </w:tr>
      <w:tr w:rsidR="00EC73EA" w:rsidRPr="000D379D" w14:paraId="19A501F0" w14:textId="77777777">
        <w:trPr>
          <w:tblCellSpacing w:w="15" w:type="dxa"/>
        </w:trPr>
        <w:tc>
          <w:tcPr>
            <w:tcW w:w="0" w:type="auto"/>
            <w:vAlign w:val="center"/>
            <w:hideMark/>
          </w:tcPr>
          <w:p w14:paraId="1D51B46F"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Colombia</w:t>
            </w:r>
          </w:p>
        </w:tc>
        <w:tc>
          <w:tcPr>
            <w:tcW w:w="0" w:type="auto"/>
            <w:vAlign w:val="center"/>
            <w:hideMark/>
          </w:tcPr>
          <w:p w14:paraId="6283D107"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Transformación digital y fortalecimiento del ecosistema de innovación</w:t>
            </w:r>
          </w:p>
        </w:tc>
        <w:tc>
          <w:tcPr>
            <w:tcW w:w="0" w:type="auto"/>
            <w:vAlign w:val="center"/>
            <w:hideMark/>
          </w:tcPr>
          <w:p w14:paraId="75F6D70D"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Desarrollo de capacidades institucionales</w:t>
            </w:r>
          </w:p>
        </w:tc>
      </w:tr>
      <w:tr w:rsidR="00EC73EA" w:rsidRPr="000D379D" w14:paraId="4394BD6D" w14:textId="77777777">
        <w:trPr>
          <w:tblCellSpacing w:w="15" w:type="dxa"/>
        </w:trPr>
        <w:tc>
          <w:tcPr>
            <w:tcW w:w="0" w:type="auto"/>
            <w:vAlign w:val="center"/>
            <w:hideMark/>
          </w:tcPr>
          <w:p w14:paraId="6A482389"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Uruguay</w:t>
            </w:r>
          </w:p>
        </w:tc>
        <w:tc>
          <w:tcPr>
            <w:tcW w:w="0" w:type="auto"/>
            <w:vAlign w:val="center"/>
            <w:hideMark/>
          </w:tcPr>
          <w:p w14:paraId="6C882651"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Gobierno digital y analítica de datos</w:t>
            </w:r>
          </w:p>
        </w:tc>
        <w:tc>
          <w:tcPr>
            <w:tcW w:w="0" w:type="auto"/>
            <w:vAlign w:val="center"/>
            <w:hideMark/>
          </w:tcPr>
          <w:p w14:paraId="3E32F2AD"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Modernización del sector público</w:t>
            </w:r>
          </w:p>
        </w:tc>
      </w:tr>
      <w:tr w:rsidR="00EC73EA" w:rsidRPr="000D379D" w14:paraId="749E631D" w14:textId="77777777">
        <w:trPr>
          <w:tblCellSpacing w:w="15" w:type="dxa"/>
        </w:trPr>
        <w:tc>
          <w:tcPr>
            <w:tcW w:w="0" w:type="auto"/>
            <w:vAlign w:val="center"/>
            <w:hideMark/>
          </w:tcPr>
          <w:p w14:paraId="3C33CBA0"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Costa Rica</w:t>
            </w:r>
          </w:p>
        </w:tc>
        <w:tc>
          <w:tcPr>
            <w:tcW w:w="0" w:type="auto"/>
            <w:vAlign w:val="center"/>
            <w:hideMark/>
          </w:tcPr>
          <w:p w14:paraId="2A17887A"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Innovación tecnológica y competitividad</w:t>
            </w:r>
          </w:p>
        </w:tc>
        <w:tc>
          <w:tcPr>
            <w:tcW w:w="0" w:type="auto"/>
            <w:vAlign w:val="center"/>
            <w:hideMark/>
          </w:tcPr>
          <w:p w14:paraId="63DB7182"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Fortalecimiento de empresas innovadoras</w:t>
            </w:r>
          </w:p>
        </w:tc>
      </w:tr>
      <w:tr w:rsidR="00EC73EA" w:rsidRPr="000D379D" w14:paraId="4E85DC9D" w14:textId="77777777">
        <w:trPr>
          <w:tblCellSpacing w:w="15" w:type="dxa"/>
        </w:trPr>
        <w:tc>
          <w:tcPr>
            <w:tcW w:w="0" w:type="auto"/>
            <w:vAlign w:val="center"/>
            <w:hideMark/>
          </w:tcPr>
          <w:p w14:paraId="7B4D3609"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Brasil</w:t>
            </w:r>
          </w:p>
        </w:tc>
        <w:tc>
          <w:tcPr>
            <w:tcW w:w="0" w:type="auto"/>
            <w:vAlign w:val="center"/>
            <w:hideMark/>
          </w:tcPr>
          <w:p w14:paraId="5C1EE3B0"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Investigación aplicada y transformación industrial</w:t>
            </w:r>
          </w:p>
        </w:tc>
        <w:tc>
          <w:tcPr>
            <w:tcW w:w="0" w:type="auto"/>
            <w:vAlign w:val="center"/>
            <w:hideMark/>
          </w:tcPr>
          <w:p w14:paraId="2811D0D9"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Incremento de productividad</w:t>
            </w:r>
          </w:p>
        </w:tc>
      </w:tr>
      <w:tr w:rsidR="00EC73EA" w:rsidRPr="000D379D" w14:paraId="2CC8A8CF" w14:textId="77777777">
        <w:trPr>
          <w:tblCellSpacing w:w="15" w:type="dxa"/>
        </w:trPr>
        <w:tc>
          <w:tcPr>
            <w:tcW w:w="0" w:type="auto"/>
            <w:vAlign w:val="center"/>
            <w:hideMark/>
          </w:tcPr>
          <w:p w14:paraId="006D4D54"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República Dominicana</w:t>
            </w:r>
          </w:p>
        </w:tc>
        <w:tc>
          <w:tcPr>
            <w:tcW w:w="0" w:type="auto"/>
            <w:vAlign w:val="center"/>
            <w:hideMark/>
          </w:tcPr>
          <w:p w14:paraId="7C3C3E44"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Fortalecimiento institucional del sistema de CTI</w:t>
            </w:r>
          </w:p>
        </w:tc>
        <w:tc>
          <w:tcPr>
            <w:tcW w:w="0" w:type="auto"/>
            <w:vAlign w:val="center"/>
            <w:hideMark/>
          </w:tcPr>
          <w:p w14:paraId="2E2DC418"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Modernización de la gobernanza científica</w:t>
            </w:r>
          </w:p>
        </w:tc>
      </w:tr>
    </w:tbl>
    <w:p w14:paraId="1E484EE0"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5.8 Análisis FODA de la estrategia del BID en CTI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4"/>
        <w:gridCol w:w="4664"/>
      </w:tblGrid>
      <w:tr w:rsidR="00EC73EA" w:rsidRPr="000D379D" w14:paraId="2D9D0296" w14:textId="77777777">
        <w:trPr>
          <w:tblHeader/>
          <w:tblCellSpacing w:w="15" w:type="dxa"/>
        </w:trPr>
        <w:tc>
          <w:tcPr>
            <w:tcW w:w="0" w:type="auto"/>
            <w:vAlign w:val="center"/>
            <w:hideMark/>
          </w:tcPr>
          <w:p w14:paraId="57069A7A"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Fortalezas</w:t>
            </w:r>
          </w:p>
        </w:tc>
        <w:tc>
          <w:tcPr>
            <w:tcW w:w="0" w:type="auto"/>
            <w:vAlign w:val="center"/>
            <w:hideMark/>
          </w:tcPr>
          <w:p w14:paraId="33610F84"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Debilidades</w:t>
            </w:r>
          </w:p>
        </w:tc>
      </w:tr>
      <w:tr w:rsidR="00EC73EA" w:rsidRPr="000D379D" w14:paraId="785E1A71" w14:textId="77777777">
        <w:trPr>
          <w:tblCellSpacing w:w="15" w:type="dxa"/>
        </w:trPr>
        <w:tc>
          <w:tcPr>
            <w:tcW w:w="0" w:type="auto"/>
            <w:vAlign w:val="center"/>
            <w:hideMark/>
          </w:tcPr>
          <w:p w14:paraId="7B7900D7"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Visión integral del ecosistema de innovación.</w:t>
            </w:r>
          </w:p>
        </w:tc>
        <w:tc>
          <w:tcPr>
            <w:tcW w:w="0" w:type="auto"/>
            <w:vAlign w:val="center"/>
            <w:hideMark/>
          </w:tcPr>
          <w:p w14:paraId="6C223BD4"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Persistencia de baja inversión regional en I+D.</w:t>
            </w:r>
          </w:p>
        </w:tc>
      </w:tr>
      <w:tr w:rsidR="00EC73EA" w:rsidRPr="000D379D" w14:paraId="72B584B3" w14:textId="77777777">
        <w:trPr>
          <w:tblCellSpacing w:w="15" w:type="dxa"/>
        </w:trPr>
        <w:tc>
          <w:tcPr>
            <w:tcW w:w="0" w:type="auto"/>
            <w:vAlign w:val="center"/>
            <w:hideMark/>
          </w:tcPr>
          <w:p w14:paraId="4D294694"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Amplia experiencia técnica y financiera.</w:t>
            </w:r>
          </w:p>
        </w:tc>
        <w:tc>
          <w:tcPr>
            <w:tcW w:w="0" w:type="auto"/>
            <w:vAlign w:val="center"/>
            <w:hideMark/>
          </w:tcPr>
          <w:p w14:paraId="43857A66"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Resultados heterogéneos entre países.</w:t>
            </w:r>
          </w:p>
        </w:tc>
      </w:tr>
      <w:tr w:rsidR="00EC73EA" w:rsidRPr="000D379D" w14:paraId="23B366BB" w14:textId="77777777">
        <w:trPr>
          <w:tblCellSpacing w:w="15" w:type="dxa"/>
        </w:trPr>
        <w:tc>
          <w:tcPr>
            <w:tcW w:w="0" w:type="auto"/>
            <w:vAlign w:val="center"/>
            <w:hideMark/>
          </w:tcPr>
          <w:p w14:paraId="38B0CB94"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Capacidad para articular cooperación regional.</w:t>
            </w:r>
          </w:p>
        </w:tc>
        <w:tc>
          <w:tcPr>
            <w:tcW w:w="0" w:type="auto"/>
            <w:vAlign w:val="center"/>
            <w:hideMark/>
          </w:tcPr>
          <w:p w14:paraId="717EACAD"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Dependencia de capacidades institucionales nacionales.</w:t>
            </w:r>
          </w:p>
        </w:tc>
      </w:tr>
      <w:tr w:rsidR="00EC73EA" w:rsidRPr="000D379D" w14:paraId="7E39BA91" w14:textId="77777777">
        <w:trPr>
          <w:tblCellSpacing w:w="15" w:type="dxa"/>
        </w:trPr>
        <w:tc>
          <w:tcPr>
            <w:tcW w:w="0" w:type="auto"/>
            <w:vAlign w:val="center"/>
            <w:hideMark/>
          </w:tcPr>
          <w:p w14:paraId="3478CD68"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Incorporación de tecnologías emergentes como IA.</w:t>
            </w:r>
          </w:p>
        </w:tc>
        <w:tc>
          <w:tcPr>
            <w:tcW w:w="0" w:type="auto"/>
            <w:vAlign w:val="center"/>
            <w:hideMark/>
          </w:tcPr>
          <w:p w14:paraId="196CCE79"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Escasa evaluación de impacto de largo plazo.</w:t>
            </w:r>
          </w:p>
        </w:tc>
      </w:tr>
    </w:tbl>
    <w:p w14:paraId="07B738E0" w14:textId="77777777" w:rsidR="00EC73EA" w:rsidRPr="000D379D" w:rsidRDefault="00EC73EA" w:rsidP="00EC070D">
      <w:pPr>
        <w:spacing w:after="0" w:line="240" w:lineRule="auto"/>
        <w:jc w:val="both"/>
        <w:rPr>
          <w:rFonts w:eastAsia="Times New Roman" w:cs="Times New Roman"/>
          <w:vanish/>
          <w:kern w:val="0"/>
          <w:lang w:eastAsia="es-CO"/>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48"/>
        <w:gridCol w:w="4990"/>
      </w:tblGrid>
      <w:tr w:rsidR="00EC73EA" w:rsidRPr="000D379D" w14:paraId="29ACDDDC" w14:textId="77777777">
        <w:trPr>
          <w:tblHeader/>
          <w:tblCellSpacing w:w="15" w:type="dxa"/>
        </w:trPr>
        <w:tc>
          <w:tcPr>
            <w:tcW w:w="0" w:type="auto"/>
            <w:vAlign w:val="center"/>
            <w:hideMark/>
          </w:tcPr>
          <w:p w14:paraId="1B0DA7F1"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Oportunidades</w:t>
            </w:r>
          </w:p>
        </w:tc>
        <w:tc>
          <w:tcPr>
            <w:tcW w:w="0" w:type="auto"/>
            <w:vAlign w:val="center"/>
            <w:hideMark/>
          </w:tcPr>
          <w:p w14:paraId="75F095B9"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Amenazas</w:t>
            </w:r>
          </w:p>
        </w:tc>
      </w:tr>
      <w:tr w:rsidR="00EC73EA" w:rsidRPr="000D379D" w14:paraId="27B75ADF" w14:textId="77777777">
        <w:trPr>
          <w:tblCellSpacing w:w="15" w:type="dxa"/>
        </w:trPr>
        <w:tc>
          <w:tcPr>
            <w:tcW w:w="0" w:type="auto"/>
            <w:vAlign w:val="center"/>
            <w:hideMark/>
          </w:tcPr>
          <w:p w14:paraId="67C7F9F1"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Expansión de la economía digital.</w:t>
            </w:r>
          </w:p>
        </w:tc>
        <w:tc>
          <w:tcPr>
            <w:tcW w:w="0" w:type="auto"/>
            <w:vAlign w:val="center"/>
            <w:hideMark/>
          </w:tcPr>
          <w:p w14:paraId="7DCC7527"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Cambios políticos que afectan la continuidad de políticas.</w:t>
            </w:r>
          </w:p>
        </w:tc>
      </w:tr>
      <w:tr w:rsidR="00EC73EA" w:rsidRPr="000D379D" w14:paraId="281DE067" w14:textId="77777777">
        <w:trPr>
          <w:tblCellSpacing w:w="15" w:type="dxa"/>
        </w:trPr>
        <w:tc>
          <w:tcPr>
            <w:tcW w:w="0" w:type="auto"/>
            <w:vAlign w:val="center"/>
            <w:hideMark/>
          </w:tcPr>
          <w:p w14:paraId="4025E0AC"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Crecimiento de la inteligencia artificial.</w:t>
            </w:r>
          </w:p>
        </w:tc>
        <w:tc>
          <w:tcPr>
            <w:tcW w:w="0" w:type="auto"/>
            <w:vAlign w:val="center"/>
            <w:hideMark/>
          </w:tcPr>
          <w:p w14:paraId="08290127"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Restricciones fiscales de los gobiernos.</w:t>
            </w:r>
          </w:p>
        </w:tc>
      </w:tr>
      <w:tr w:rsidR="00EC73EA" w:rsidRPr="000D379D" w14:paraId="0DB83886" w14:textId="77777777">
        <w:trPr>
          <w:tblCellSpacing w:w="15" w:type="dxa"/>
        </w:trPr>
        <w:tc>
          <w:tcPr>
            <w:tcW w:w="0" w:type="auto"/>
            <w:vAlign w:val="center"/>
            <w:hideMark/>
          </w:tcPr>
          <w:p w14:paraId="1D36A1D7"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Integración regional en ciencia y tecnología.</w:t>
            </w:r>
          </w:p>
        </w:tc>
        <w:tc>
          <w:tcPr>
            <w:tcW w:w="0" w:type="auto"/>
            <w:vAlign w:val="center"/>
            <w:hideMark/>
          </w:tcPr>
          <w:p w14:paraId="53EB8773"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Incremento de brechas digitales y tecnológicas.</w:t>
            </w:r>
          </w:p>
        </w:tc>
      </w:tr>
      <w:tr w:rsidR="00EC73EA" w:rsidRPr="000D379D" w14:paraId="5A933F5E" w14:textId="77777777">
        <w:trPr>
          <w:tblCellSpacing w:w="15" w:type="dxa"/>
        </w:trPr>
        <w:tc>
          <w:tcPr>
            <w:tcW w:w="0" w:type="auto"/>
            <w:vAlign w:val="center"/>
            <w:hideMark/>
          </w:tcPr>
          <w:p w14:paraId="6F5D15D0"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Mayor cooperación internacional.</w:t>
            </w:r>
          </w:p>
        </w:tc>
        <w:tc>
          <w:tcPr>
            <w:tcW w:w="0" w:type="auto"/>
            <w:vAlign w:val="center"/>
            <w:hideMark/>
          </w:tcPr>
          <w:p w14:paraId="611AC20C"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Competencia global por talento altamente calificado.</w:t>
            </w:r>
          </w:p>
        </w:tc>
      </w:tr>
    </w:tbl>
    <w:p w14:paraId="49978E6F"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Cuadro sintético de las principales líneas de acción en CTI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0"/>
        <w:gridCol w:w="1869"/>
        <w:gridCol w:w="2650"/>
        <w:gridCol w:w="2039"/>
      </w:tblGrid>
      <w:tr w:rsidR="00EC73EA" w:rsidRPr="000D379D" w14:paraId="6CF04E57" w14:textId="77777777">
        <w:trPr>
          <w:tblHeader/>
          <w:tblCellSpacing w:w="15" w:type="dxa"/>
        </w:trPr>
        <w:tc>
          <w:tcPr>
            <w:tcW w:w="0" w:type="auto"/>
            <w:vAlign w:val="center"/>
            <w:hideMark/>
          </w:tcPr>
          <w:p w14:paraId="564008F2"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lastRenderedPageBreak/>
              <w:t>Línea estratégica</w:t>
            </w:r>
          </w:p>
        </w:tc>
        <w:tc>
          <w:tcPr>
            <w:tcW w:w="0" w:type="auto"/>
            <w:vAlign w:val="center"/>
            <w:hideMark/>
          </w:tcPr>
          <w:p w14:paraId="71A416D6"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Objetivo</w:t>
            </w:r>
          </w:p>
        </w:tc>
        <w:tc>
          <w:tcPr>
            <w:tcW w:w="0" w:type="auto"/>
            <w:vAlign w:val="center"/>
            <w:hideMark/>
          </w:tcPr>
          <w:p w14:paraId="3F0CF14D"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Contribución del BID</w:t>
            </w:r>
          </w:p>
        </w:tc>
        <w:tc>
          <w:tcPr>
            <w:tcW w:w="0" w:type="auto"/>
            <w:vAlign w:val="center"/>
            <w:hideMark/>
          </w:tcPr>
          <w:p w14:paraId="6E91DDA1" w14:textId="77777777" w:rsidR="00EC73EA" w:rsidRPr="000D379D" w:rsidRDefault="00EC73EA"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Principales desafíos</w:t>
            </w:r>
          </w:p>
        </w:tc>
      </w:tr>
      <w:tr w:rsidR="00EC73EA" w:rsidRPr="000D379D" w14:paraId="63A023B3" w14:textId="77777777">
        <w:trPr>
          <w:tblCellSpacing w:w="15" w:type="dxa"/>
        </w:trPr>
        <w:tc>
          <w:tcPr>
            <w:tcW w:w="0" w:type="auto"/>
            <w:vAlign w:val="center"/>
            <w:hideMark/>
          </w:tcPr>
          <w:p w14:paraId="59FA4C53"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Sistemas nacionales de innovación</w:t>
            </w:r>
          </w:p>
        </w:tc>
        <w:tc>
          <w:tcPr>
            <w:tcW w:w="0" w:type="auto"/>
            <w:vAlign w:val="center"/>
            <w:hideMark/>
          </w:tcPr>
          <w:p w14:paraId="724EFB91"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Fortalecer gobernanza</w:t>
            </w:r>
          </w:p>
        </w:tc>
        <w:tc>
          <w:tcPr>
            <w:tcW w:w="0" w:type="auto"/>
            <w:vAlign w:val="center"/>
            <w:hideMark/>
          </w:tcPr>
          <w:p w14:paraId="5B15EDB3"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Cooperación técnica y financiamiento</w:t>
            </w:r>
          </w:p>
        </w:tc>
        <w:tc>
          <w:tcPr>
            <w:tcW w:w="0" w:type="auto"/>
            <w:vAlign w:val="center"/>
            <w:hideMark/>
          </w:tcPr>
          <w:p w14:paraId="734CC7F6"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Coordinación institucional</w:t>
            </w:r>
          </w:p>
        </w:tc>
      </w:tr>
      <w:tr w:rsidR="00EC73EA" w:rsidRPr="000D379D" w14:paraId="06F64DDD" w14:textId="77777777">
        <w:trPr>
          <w:tblCellSpacing w:w="15" w:type="dxa"/>
        </w:trPr>
        <w:tc>
          <w:tcPr>
            <w:tcW w:w="0" w:type="auto"/>
            <w:vAlign w:val="center"/>
            <w:hideMark/>
          </w:tcPr>
          <w:p w14:paraId="11866345"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Investigación científica</w:t>
            </w:r>
          </w:p>
        </w:tc>
        <w:tc>
          <w:tcPr>
            <w:tcW w:w="0" w:type="auto"/>
            <w:vAlign w:val="center"/>
            <w:hideMark/>
          </w:tcPr>
          <w:p w14:paraId="6B9B0E5A"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Generar conocimiento</w:t>
            </w:r>
          </w:p>
        </w:tc>
        <w:tc>
          <w:tcPr>
            <w:tcW w:w="0" w:type="auto"/>
            <w:vAlign w:val="center"/>
            <w:hideMark/>
          </w:tcPr>
          <w:p w14:paraId="36828D0E"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Infraestructura y fondos competitivos</w:t>
            </w:r>
          </w:p>
        </w:tc>
        <w:tc>
          <w:tcPr>
            <w:tcW w:w="0" w:type="auto"/>
            <w:vAlign w:val="center"/>
            <w:hideMark/>
          </w:tcPr>
          <w:p w14:paraId="496A1D63"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Incrementar inversión en I+D</w:t>
            </w:r>
          </w:p>
        </w:tc>
      </w:tr>
      <w:tr w:rsidR="00EC73EA" w:rsidRPr="000D379D" w14:paraId="0349446E" w14:textId="77777777">
        <w:trPr>
          <w:tblCellSpacing w:w="15" w:type="dxa"/>
        </w:trPr>
        <w:tc>
          <w:tcPr>
            <w:tcW w:w="0" w:type="auto"/>
            <w:vAlign w:val="center"/>
            <w:hideMark/>
          </w:tcPr>
          <w:p w14:paraId="3215C42B"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Transformación digital</w:t>
            </w:r>
          </w:p>
        </w:tc>
        <w:tc>
          <w:tcPr>
            <w:tcW w:w="0" w:type="auto"/>
            <w:vAlign w:val="center"/>
            <w:hideMark/>
          </w:tcPr>
          <w:p w14:paraId="081377E5"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Modernizar economías</w:t>
            </w:r>
          </w:p>
        </w:tc>
        <w:tc>
          <w:tcPr>
            <w:tcW w:w="0" w:type="auto"/>
            <w:vAlign w:val="center"/>
            <w:hideMark/>
          </w:tcPr>
          <w:p w14:paraId="6DEB5099"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Estrategias digitales e IA</w:t>
            </w:r>
          </w:p>
        </w:tc>
        <w:tc>
          <w:tcPr>
            <w:tcW w:w="0" w:type="auto"/>
            <w:vAlign w:val="center"/>
            <w:hideMark/>
          </w:tcPr>
          <w:p w14:paraId="777FF790"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Reducir brechas tecnológicas</w:t>
            </w:r>
          </w:p>
        </w:tc>
      </w:tr>
      <w:tr w:rsidR="00EC73EA" w:rsidRPr="000D379D" w14:paraId="384AA7EF" w14:textId="77777777">
        <w:trPr>
          <w:tblCellSpacing w:w="15" w:type="dxa"/>
        </w:trPr>
        <w:tc>
          <w:tcPr>
            <w:tcW w:w="0" w:type="auto"/>
            <w:vAlign w:val="center"/>
            <w:hideMark/>
          </w:tcPr>
          <w:p w14:paraId="2CD2DFD7"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Innovación empresarial</w:t>
            </w:r>
          </w:p>
        </w:tc>
        <w:tc>
          <w:tcPr>
            <w:tcW w:w="0" w:type="auto"/>
            <w:vAlign w:val="center"/>
            <w:hideMark/>
          </w:tcPr>
          <w:p w14:paraId="30E21792"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Aumentar productividad</w:t>
            </w:r>
          </w:p>
        </w:tc>
        <w:tc>
          <w:tcPr>
            <w:tcW w:w="0" w:type="auto"/>
            <w:vAlign w:val="center"/>
            <w:hideMark/>
          </w:tcPr>
          <w:p w14:paraId="6CAF0C0F"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Emprendimiento y transferencia tecnológica</w:t>
            </w:r>
          </w:p>
        </w:tc>
        <w:tc>
          <w:tcPr>
            <w:tcW w:w="0" w:type="auto"/>
            <w:vAlign w:val="center"/>
            <w:hideMark/>
          </w:tcPr>
          <w:p w14:paraId="126E9B5B"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Acceso al financiamiento</w:t>
            </w:r>
          </w:p>
        </w:tc>
      </w:tr>
      <w:tr w:rsidR="00EC73EA" w:rsidRPr="000D379D" w14:paraId="24EE2DD8" w14:textId="77777777">
        <w:trPr>
          <w:tblCellSpacing w:w="15" w:type="dxa"/>
        </w:trPr>
        <w:tc>
          <w:tcPr>
            <w:tcW w:w="0" w:type="auto"/>
            <w:vAlign w:val="center"/>
            <w:hideMark/>
          </w:tcPr>
          <w:p w14:paraId="2319464E"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Talento STEM</w:t>
            </w:r>
          </w:p>
        </w:tc>
        <w:tc>
          <w:tcPr>
            <w:tcW w:w="0" w:type="auto"/>
            <w:vAlign w:val="center"/>
            <w:hideMark/>
          </w:tcPr>
          <w:p w14:paraId="1BAAE6F2"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Desarrollar capital humano</w:t>
            </w:r>
          </w:p>
        </w:tc>
        <w:tc>
          <w:tcPr>
            <w:tcW w:w="0" w:type="auto"/>
            <w:vAlign w:val="center"/>
            <w:hideMark/>
          </w:tcPr>
          <w:p w14:paraId="066A85C5"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Formación especializada</w:t>
            </w:r>
          </w:p>
        </w:tc>
        <w:tc>
          <w:tcPr>
            <w:tcW w:w="0" w:type="auto"/>
            <w:vAlign w:val="center"/>
            <w:hideMark/>
          </w:tcPr>
          <w:p w14:paraId="3F9A7E5B" w14:textId="77777777" w:rsidR="00EC73EA" w:rsidRPr="000D379D" w:rsidRDefault="00EC73EA"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Retención de talento</w:t>
            </w:r>
          </w:p>
        </w:tc>
      </w:tr>
    </w:tbl>
    <w:p w14:paraId="189AA630" w14:textId="77777777" w:rsidR="00EC73EA" w:rsidRPr="000D379D" w:rsidRDefault="00EC73EA"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Reflexión crítica del capítulo</w:t>
      </w:r>
    </w:p>
    <w:p w14:paraId="7FE6311D"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análisis de las iniciativas del BID en ciencia, tecnología e innovación evidencia una evolución hacia un modelo de cooperación orientado al fortalecimiento de capacidades nacionales y a la construcción de ecosistemas de innovación. La incorporación de temas como inteligencia artificial, transformación digital, emprendimiento tecnológico y ciencia aplicada demuestra una visión alineada con las tendencias globales.</w:t>
      </w:r>
    </w:p>
    <w:p w14:paraId="3CF70FC9"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Sin embargo, el éxito de esta estrategia depende en gran medida de factores estructurales que exceden la acción del Banco. La limitada inversión pública y privada en I+D, la fragmentación institucional, las brechas territoriales y la insuficiente articulación entre los actores del sistema continúan restringiendo el impacto de las políticas de innovación.</w:t>
      </w:r>
    </w:p>
    <w:p w14:paraId="6D255B5F" w14:textId="77777777" w:rsidR="00EC73EA" w:rsidRPr="000D379D" w:rsidRDefault="00EC73EA"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Desde una perspectiva constructiva, el BID podría profundizar su apoyo a mecanismos regionales de cooperación científica, promover esquemas de financiamiento de largo plazo para la investigación aplicada y fortalecer la evaluación de resultados e impactos de sus programas. Asimismo, resulta esencial avanzar hacia modelos de gobernanza más integrados que favorezcan la colaboración entre universidades, empresas, gobiernos y sociedad civil.</w:t>
      </w:r>
    </w:p>
    <w:p w14:paraId="5B2C0E1D"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Capítulo 6. Análisis crítico integral, perspectivas hacia 2030, conclusiones y bibliografía</w:t>
      </w:r>
    </w:p>
    <w:p w14:paraId="0F793119"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6. Análisis crítico integral</w:t>
      </w:r>
    </w:p>
    <w:p w14:paraId="375D3B83"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análisis de las estrategias, programas y proyectos desarrollados por el Banco Interamericano de Desarrollo (BID) entre 2021 y 2026 evidencia una evolución significativa en su concepción del desarrollo de América Latina y el Caribe. Durante este período, el Banco consolidó un enfoque que reconoce a la educación, la educación superior, la ciencia, la tecnología y la innovación (CTI) como factores estructurales para incrementar la productividad, fortalecer la resiliencia institucional y avanzar hacia un desarrollo sostenible e inclusivo.</w:t>
      </w:r>
    </w:p>
    <w:p w14:paraId="0EC0E99C"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A diferencia de décadas anteriores, en las que el énfasis recaía principalmente en la ampliación de la cobertura educativa y el financiamiento de infraestructura, el BID orientó sus </w:t>
      </w:r>
      <w:r w:rsidRPr="000D379D">
        <w:rPr>
          <w:rFonts w:eastAsia="Times New Roman" w:cs="Times New Roman"/>
          <w:kern w:val="0"/>
          <w:lang w:eastAsia="es-CO"/>
          <w14:ligatures w14:val="none"/>
        </w:rPr>
        <w:lastRenderedPageBreak/>
        <w:t>intervenciones hacia el fortalecimiento de capacidades institucionales, la calidad del aprendizaje, la transformación digital y la construcción de ecosistemas de innovación.</w:t>
      </w:r>
    </w:p>
    <w:p w14:paraId="19CEB10F"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Este cambio de paradigma representa uno de los mayores aportes del Banco a la región.</w:t>
      </w:r>
    </w:p>
    <w:p w14:paraId="296B4672"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Sin embargo, el análisis también muestra que la efectividad de estas estrategias depende menos del volumen de recursos financieros y más de la capacidad de los países para implementar reformas complejas, coordinar actores y sostener políticas públicas en el largo plazo.</w:t>
      </w:r>
    </w:p>
    <w:p w14:paraId="55FCB371"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6.1 Principales fortalezas</w:t>
      </w:r>
    </w:p>
    <w:p w14:paraId="5A7CE4DE"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Del análisis realizado pueden identificarse ocho fortalezas estratégicas.</w:t>
      </w:r>
    </w:p>
    <w:p w14:paraId="04650B4B"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1. Visión sistémica del desarrollo</w:t>
      </w:r>
    </w:p>
    <w:p w14:paraId="336EEC47"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ha logrado integrar educación, educación superior, ciencia, tecnología e innovación dentro de una misma estrategia de desarrollo, superando enfoques sectoriales fragmentados.</w:t>
      </w:r>
    </w:p>
    <w:p w14:paraId="464A5328"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2. Políticas basadas en evidencia</w:t>
      </w:r>
    </w:p>
    <w:p w14:paraId="2C6508E3"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Banco ha fortalecido el uso de evaluaciones, indicadores, analítica de datos e investigaciones para respaldar la formulación de políticas públicas.</w:t>
      </w:r>
    </w:p>
    <w:p w14:paraId="3B12C0C3"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Esta aproximación incrementa la transparencia y mejora la calidad técnica de las intervenciones.</w:t>
      </w:r>
    </w:p>
    <w:p w14:paraId="2DD13A35"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3. Transformación digital</w:t>
      </w:r>
    </w:p>
    <w:p w14:paraId="4EB2DC1E"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rápida incorporación de tecnologías digitales constituye uno de los mayores logros institucionales del período analizado.</w:t>
      </w:r>
    </w:p>
    <w:p w14:paraId="3EB35512"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ha acompañado a los países en procesos de modernización educativa, gobierno digital, inteligencia artificial y fortalecimiento de competencias digitales.</w:t>
      </w:r>
    </w:p>
    <w:p w14:paraId="4C4E3A6F"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4. Cooperación técnica especializada</w:t>
      </w:r>
    </w:p>
    <w:p w14:paraId="7024877E"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Además del financiamiento, el Banco aporta conocimiento técnico altamente especializado, lo cual representa un valor agregado para gobiernos con capacidades institucionales limitadas.</w:t>
      </w:r>
    </w:p>
    <w:p w14:paraId="6E1029F1"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5. Articulación regional</w:t>
      </w:r>
    </w:p>
    <w:p w14:paraId="7D25F962"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ha promovido el intercambio de buenas prácticas entre países, fortaleciendo redes de cooperación regional y aprendizaje mutuo.</w:t>
      </w:r>
    </w:p>
    <w:p w14:paraId="23583EE5"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6. Enfoque en productividad</w:t>
      </w:r>
    </w:p>
    <w:p w14:paraId="0B719BAE"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Las intervenciones educativas están cada vez más articuladas con la innovación, el empleo y el crecimiento económico.</w:t>
      </w:r>
    </w:p>
    <w:p w14:paraId="3A5F9151"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7. Inclusión social</w:t>
      </w:r>
    </w:p>
    <w:p w14:paraId="7F56A6F7"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estrategias incorporan progresivamente enfoques de género, interculturalidad e inclusión de poblaciones vulnerables.</w:t>
      </w:r>
    </w:p>
    <w:p w14:paraId="35363D3A"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8. Capacidad de adaptación</w:t>
      </w:r>
    </w:p>
    <w:p w14:paraId="7CD7A5BF"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respuesta institucional frente a la pandemia demuestra una importante capacidad para rediseñar programas e incorporar nuevas prioridades como inteligencia artificial, transformación digital y aprendizaje híbrido.</w:t>
      </w:r>
    </w:p>
    <w:p w14:paraId="78DEA68D"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6.2 Principales limitaciones</w:t>
      </w:r>
    </w:p>
    <w:p w14:paraId="10A870C7"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Pese a los avances, persisten importantes limitaciones estructurales.</w:t>
      </w:r>
    </w:p>
    <w:p w14:paraId="28FB3805"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Dependencia institucional</w:t>
      </w:r>
    </w:p>
    <w:p w14:paraId="48A0D45C"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Los resultados dependen significativamente de la capacidad administrativa de cada país.</w:t>
      </w:r>
    </w:p>
    <w:p w14:paraId="5CFF9E45"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Esto genera impactos muy diferentes entre los países con instituciones sólidas y aquellos con mayores debilidades.</w:t>
      </w:r>
    </w:p>
    <w:p w14:paraId="0206B49B"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Baja inversión regional en I+D</w:t>
      </w:r>
    </w:p>
    <w:p w14:paraId="564B3F93"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Aunque el BID impulsa múltiples iniciativas de innovación, el bajo esfuerzo financiero nacional continúa siendo uno de los principales obstáculos para consolidar economías basadas en conocimiento.</w:t>
      </w:r>
    </w:p>
    <w:p w14:paraId="7779BC42"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Brechas territoriales</w:t>
      </w:r>
    </w:p>
    <w:p w14:paraId="1438338E"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desigualdades entre zonas urbanas y rurales continúan limitando el acceso equitativo a oportunidades educativas y tecnológicas.</w:t>
      </w:r>
    </w:p>
    <w:p w14:paraId="6C36F412"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Escasa evaluación de impacto</w:t>
      </w:r>
    </w:p>
    <w:p w14:paraId="133E35A0"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Aunque existe abundante seguimiento de ejecución, aún son relativamente limitadas las evaluaciones que permitan medir impactos de mediano y largo plazo sobre productividad, innovación y bienestar social.</w:t>
      </w:r>
    </w:p>
    <w:p w14:paraId="0002FA41"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Fragmentación institucional</w:t>
      </w:r>
    </w:p>
    <w:p w14:paraId="0D474D95"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numerosos países persiste una débil coordinación entre:</w:t>
      </w:r>
    </w:p>
    <w:p w14:paraId="037808ED" w14:textId="77777777" w:rsidR="003855C7" w:rsidRPr="000D379D" w:rsidRDefault="003855C7" w:rsidP="00EC070D">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ministerios de educación; </w:t>
      </w:r>
    </w:p>
    <w:p w14:paraId="2EFB2B76" w14:textId="77777777" w:rsidR="003855C7" w:rsidRPr="000D379D" w:rsidRDefault="003855C7" w:rsidP="00EC070D">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 xml:space="preserve">ministerios de ciencia; </w:t>
      </w:r>
    </w:p>
    <w:p w14:paraId="74BF138F" w14:textId="77777777" w:rsidR="003855C7" w:rsidRPr="000D379D" w:rsidRDefault="003855C7" w:rsidP="00EC070D">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universidades; </w:t>
      </w:r>
    </w:p>
    <w:p w14:paraId="615E3B30" w14:textId="77777777" w:rsidR="003855C7" w:rsidRPr="000D379D" w:rsidRDefault="003855C7" w:rsidP="00EC070D">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centros de investigación; </w:t>
      </w:r>
    </w:p>
    <w:p w14:paraId="771187C3" w14:textId="77777777" w:rsidR="003855C7" w:rsidRPr="000D379D" w:rsidRDefault="003855C7" w:rsidP="00EC070D">
      <w:pPr>
        <w:numPr>
          <w:ilvl w:val="0"/>
          <w:numId w:val="31"/>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sector productivo. </w:t>
      </w:r>
    </w:p>
    <w:p w14:paraId="614F6E16"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Sostenibilidad</w:t>
      </w:r>
    </w:p>
    <w:p w14:paraId="3F3F3B4D"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Algunos programas presentan riesgos de continuidad una vez concluye el financiamiento del Banco.</w:t>
      </w:r>
    </w:p>
    <w:p w14:paraId="6E5E6230"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6.3 Comparación con otros organismos multilaterales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6"/>
        <w:gridCol w:w="1067"/>
        <w:gridCol w:w="675"/>
        <w:gridCol w:w="1547"/>
        <w:gridCol w:w="963"/>
      </w:tblGrid>
      <w:tr w:rsidR="003855C7" w:rsidRPr="000D379D" w14:paraId="33B6FA9E" w14:textId="77777777">
        <w:trPr>
          <w:tblHeader/>
          <w:tblCellSpacing w:w="15" w:type="dxa"/>
        </w:trPr>
        <w:tc>
          <w:tcPr>
            <w:tcW w:w="0" w:type="auto"/>
            <w:vAlign w:val="center"/>
            <w:hideMark/>
          </w:tcPr>
          <w:p w14:paraId="35E9C400"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Aspecto</w:t>
            </w:r>
          </w:p>
        </w:tc>
        <w:tc>
          <w:tcPr>
            <w:tcW w:w="0" w:type="auto"/>
            <w:vAlign w:val="center"/>
            <w:hideMark/>
          </w:tcPr>
          <w:p w14:paraId="6410F184"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BID</w:t>
            </w:r>
          </w:p>
        </w:tc>
        <w:tc>
          <w:tcPr>
            <w:tcW w:w="0" w:type="auto"/>
            <w:vAlign w:val="center"/>
            <w:hideMark/>
          </w:tcPr>
          <w:p w14:paraId="790E33A9"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CAF</w:t>
            </w:r>
          </w:p>
        </w:tc>
        <w:tc>
          <w:tcPr>
            <w:tcW w:w="0" w:type="auto"/>
            <w:vAlign w:val="center"/>
            <w:hideMark/>
          </w:tcPr>
          <w:p w14:paraId="30E0CB03"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Banco Mundial</w:t>
            </w:r>
          </w:p>
        </w:tc>
        <w:tc>
          <w:tcPr>
            <w:tcW w:w="0" w:type="auto"/>
            <w:vAlign w:val="center"/>
            <w:hideMark/>
          </w:tcPr>
          <w:p w14:paraId="3AD90C3B"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UNESCO</w:t>
            </w:r>
          </w:p>
        </w:tc>
      </w:tr>
      <w:tr w:rsidR="003855C7" w:rsidRPr="000D379D" w14:paraId="69AB4D9F" w14:textId="77777777">
        <w:trPr>
          <w:tblCellSpacing w:w="15" w:type="dxa"/>
        </w:trPr>
        <w:tc>
          <w:tcPr>
            <w:tcW w:w="0" w:type="auto"/>
            <w:vAlign w:val="center"/>
            <w:hideMark/>
          </w:tcPr>
          <w:p w14:paraId="0DB9484F"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Financiamiento</w:t>
            </w:r>
          </w:p>
        </w:tc>
        <w:tc>
          <w:tcPr>
            <w:tcW w:w="0" w:type="auto"/>
            <w:vAlign w:val="center"/>
            <w:hideMark/>
          </w:tcPr>
          <w:p w14:paraId="1817A810"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alto</w:t>
            </w:r>
          </w:p>
        </w:tc>
        <w:tc>
          <w:tcPr>
            <w:tcW w:w="0" w:type="auto"/>
            <w:vAlign w:val="center"/>
            <w:hideMark/>
          </w:tcPr>
          <w:p w14:paraId="5E972B7A"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Alto</w:t>
            </w:r>
          </w:p>
        </w:tc>
        <w:tc>
          <w:tcPr>
            <w:tcW w:w="0" w:type="auto"/>
            <w:vAlign w:val="center"/>
            <w:hideMark/>
          </w:tcPr>
          <w:p w14:paraId="686BD3F7"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alto</w:t>
            </w:r>
          </w:p>
        </w:tc>
        <w:tc>
          <w:tcPr>
            <w:tcW w:w="0" w:type="auto"/>
            <w:vAlign w:val="center"/>
            <w:hideMark/>
          </w:tcPr>
          <w:p w14:paraId="0BAF931C"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Bajo</w:t>
            </w:r>
          </w:p>
        </w:tc>
      </w:tr>
      <w:tr w:rsidR="003855C7" w:rsidRPr="000D379D" w14:paraId="0CB8C6E0" w14:textId="77777777">
        <w:trPr>
          <w:tblCellSpacing w:w="15" w:type="dxa"/>
        </w:trPr>
        <w:tc>
          <w:tcPr>
            <w:tcW w:w="0" w:type="auto"/>
            <w:vAlign w:val="center"/>
            <w:hideMark/>
          </w:tcPr>
          <w:p w14:paraId="6BCDAC4B"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Cooperación técnica</w:t>
            </w:r>
          </w:p>
        </w:tc>
        <w:tc>
          <w:tcPr>
            <w:tcW w:w="0" w:type="auto"/>
            <w:vAlign w:val="center"/>
            <w:hideMark/>
          </w:tcPr>
          <w:p w14:paraId="4C57A9CA"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alta</w:t>
            </w:r>
          </w:p>
        </w:tc>
        <w:tc>
          <w:tcPr>
            <w:tcW w:w="0" w:type="auto"/>
            <w:vAlign w:val="center"/>
            <w:hideMark/>
          </w:tcPr>
          <w:p w14:paraId="5A197DA0"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Alta</w:t>
            </w:r>
          </w:p>
        </w:tc>
        <w:tc>
          <w:tcPr>
            <w:tcW w:w="0" w:type="auto"/>
            <w:vAlign w:val="center"/>
            <w:hideMark/>
          </w:tcPr>
          <w:p w14:paraId="1EF55BC3"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Alta</w:t>
            </w:r>
          </w:p>
        </w:tc>
        <w:tc>
          <w:tcPr>
            <w:tcW w:w="0" w:type="auto"/>
            <w:vAlign w:val="center"/>
            <w:hideMark/>
          </w:tcPr>
          <w:p w14:paraId="45CE0C40"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alta</w:t>
            </w:r>
          </w:p>
        </w:tc>
      </w:tr>
      <w:tr w:rsidR="003855C7" w:rsidRPr="000D379D" w14:paraId="7800F390" w14:textId="77777777">
        <w:trPr>
          <w:tblCellSpacing w:w="15" w:type="dxa"/>
        </w:trPr>
        <w:tc>
          <w:tcPr>
            <w:tcW w:w="0" w:type="auto"/>
            <w:vAlign w:val="center"/>
            <w:hideMark/>
          </w:tcPr>
          <w:p w14:paraId="27B227C3"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Educación superior</w:t>
            </w:r>
          </w:p>
        </w:tc>
        <w:tc>
          <w:tcPr>
            <w:tcW w:w="0" w:type="auto"/>
            <w:vAlign w:val="center"/>
            <w:hideMark/>
          </w:tcPr>
          <w:p w14:paraId="78AC3A01"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fuerte</w:t>
            </w:r>
          </w:p>
        </w:tc>
        <w:tc>
          <w:tcPr>
            <w:tcW w:w="0" w:type="auto"/>
            <w:vAlign w:val="center"/>
            <w:hideMark/>
          </w:tcPr>
          <w:p w14:paraId="023A3439"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Fuerte</w:t>
            </w:r>
          </w:p>
        </w:tc>
        <w:tc>
          <w:tcPr>
            <w:tcW w:w="0" w:type="auto"/>
            <w:vAlign w:val="center"/>
            <w:hideMark/>
          </w:tcPr>
          <w:p w14:paraId="0DF22BED"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Media</w:t>
            </w:r>
          </w:p>
        </w:tc>
        <w:tc>
          <w:tcPr>
            <w:tcW w:w="0" w:type="auto"/>
            <w:vAlign w:val="center"/>
            <w:hideMark/>
          </w:tcPr>
          <w:p w14:paraId="1E8BE5F0"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Media</w:t>
            </w:r>
          </w:p>
        </w:tc>
      </w:tr>
      <w:tr w:rsidR="003855C7" w:rsidRPr="000D379D" w14:paraId="1333C45D" w14:textId="77777777">
        <w:trPr>
          <w:tblCellSpacing w:w="15" w:type="dxa"/>
        </w:trPr>
        <w:tc>
          <w:tcPr>
            <w:tcW w:w="0" w:type="auto"/>
            <w:vAlign w:val="center"/>
            <w:hideMark/>
          </w:tcPr>
          <w:p w14:paraId="578CD12C"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Ciencia e innovación</w:t>
            </w:r>
          </w:p>
        </w:tc>
        <w:tc>
          <w:tcPr>
            <w:tcW w:w="0" w:type="auto"/>
            <w:vAlign w:val="center"/>
            <w:hideMark/>
          </w:tcPr>
          <w:p w14:paraId="50417A8C"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fuerte</w:t>
            </w:r>
          </w:p>
        </w:tc>
        <w:tc>
          <w:tcPr>
            <w:tcW w:w="0" w:type="auto"/>
            <w:vAlign w:val="center"/>
            <w:hideMark/>
          </w:tcPr>
          <w:p w14:paraId="7B072678"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Alta</w:t>
            </w:r>
          </w:p>
        </w:tc>
        <w:tc>
          <w:tcPr>
            <w:tcW w:w="0" w:type="auto"/>
            <w:vAlign w:val="center"/>
            <w:hideMark/>
          </w:tcPr>
          <w:p w14:paraId="5C5BD316"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Media</w:t>
            </w:r>
          </w:p>
        </w:tc>
        <w:tc>
          <w:tcPr>
            <w:tcW w:w="0" w:type="auto"/>
            <w:vAlign w:val="center"/>
            <w:hideMark/>
          </w:tcPr>
          <w:p w14:paraId="49BDD8D2"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Baja</w:t>
            </w:r>
          </w:p>
        </w:tc>
      </w:tr>
      <w:tr w:rsidR="003855C7" w:rsidRPr="000D379D" w14:paraId="584A3377" w14:textId="77777777">
        <w:trPr>
          <w:tblCellSpacing w:w="15" w:type="dxa"/>
        </w:trPr>
        <w:tc>
          <w:tcPr>
            <w:tcW w:w="0" w:type="auto"/>
            <w:vAlign w:val="center"/>
            <w:hideMark/>
          </w:tcPr>
          <w:p w14:paraId="4400CF9E"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Transformación digital</w:t>
            </w:r>
          </w:p>
        </w:tc>
        <w:tc>
          <w:tcPr>
            <w:tcW w:w="0" w:type="auto"/>
            <w:vAlign w:val="center"/>
            <w:hideMark/>
          </w:tcPr>
          <w:p w14:paraId="6E29C433"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fuerte</w:t>
            </w:r>
          </w:p>
        </w:tc>
        <w:tc>
          <w:tcPr>
            <w:tcW w:w="0" w:type="auto"/>
            <w:vAlign w:val="center"/>
            <w:hideMark/>
          </w:tcPr>
          <w:p w14:paraId="5358D6A1"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Alta</w:t>
            </w:r>
          </w:p>
        </w:tc>
        <w:tc>
          <w:tcPr>
            <w:tcW w:w="0" w:type="auto"/>
            <w:vAlign w:val="center"/>
            <w:hideMark/>
          </w:tcPr>
          <w:p w14:paraId="122ED34E"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Alta</w:t>
            </w:r>
          </w:p>
        </w:tc>
        <w:tc>
          <w:tcPr>
            <w:tcW w:w="0" w:type="auto"/>
            <w:vAlign w:val="center"/>
            <w:hideMark/>
          </w:tcPr>
          <w:p w14:paraId="296D11A2"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Media</w:t>
            </w:r>
          </w:p>
        </w:tc>
      </w:tr>
      <w:tr w:rsidR="003855C7" w:rsidRPr="000D379D" w14:paraId="4CCD9857" w14:textId="77777777">
        <w:trPr>
          <w:tblCellSpacing w:w="15" w:type="dxa"/>
        </w:trPr>
        <w:tc>
          <w:tcPr>
            <w:tcW w:w="0" w:type="auto"/>
            <w:vAlign w:val="center"/>
            <w:hideMark/>
          </w:tcPr>
          <w:p w14:paraId="31A53E3D"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Producción de conocimiento</w:t>
            </w:r>
          </w:p>
        </w:tc>
        <w:tc>
          <w:tcPr>
            <w:tcW w:w="0" w:type="auto"/>
            <w:vAlign w:val="center"/>
            <w:hideMark/>
          </w:tcPr>
          <w:p w14:paraId="2B51741E"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alta</w:t>
            </w:r>
          </w:p>
        </w:tc>
        <w:tc>
          <w:tcPr>
            <w:tcW w:w="0" w:type="auto"/>
            <w:vAlign w:val="center"/>
            <w:hideMark/>
          </w:tcPr>
          <w:p w14:paraId="6EE06116"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Alta</w:t>
            </w:r>
          </w:p>
        </w:tc>
        <w:tc>
          <w:tcPr>
            <w:tcW w:w="0" w:type="auto"/>
            <w:vAlign w:val="center"/>
            <w:hideMark/>
          </w:tcPr>
          <w:p w14:paraId="30F9800E"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alta</w:t>
            </w:r>
          </w:p>
        </w:tc>
        <w:tc>
          <w:tcPr>
            <w:tcW w:w="0" w:type="auto"/>
            <w:vAlign w:val="center"/>
            <w:hideMark/>
          </w:tcPr>
          <w:p w14:paraId="6EB264B0"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alta</w:t>
            </w:r>
          </w:p>
        </w:tc>
      </w:tr>
      <w:tr w:rsidR="003855C7" w:rsidRPr="000D379D" w14:paraId="35E86689" w14:textId="77777777">
        <w:trPr>
          <w:tblCellSpacing w:w="15" w:type="dxa"/>
        </w:trPr>
        <w:tc>
          <w:tcPr>
            <w:tcW w:w="0" w:type="auto"/>
            <w:vAlign w:val="center"/>
            <w:hideMark/>
          </w:tcPr>
          <w:p w14:paraId="065A2ABC"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Enfoque cultural</w:t>
            </w:r>
          </w:p>
        </w:tc>
        <w:tc>
          <w:tcPr>
            <w:tcW w:w="0" w:type="auto"/>
            <w:vAlign w:val="center"/>
            <w:hideMark/>
          </w:tcPr>
          <w:p w14:paraId="4C261BB4"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Medio</w:t>
            </w:r>
          </w:p>
        </w:tc>
        <w:tc>
          <w:tcPr>
            <w:tcW w:w="0" w:type="auto"/>
            <w:vAlign w:val="center"/>
            <w:hideMark/>
          </w:tcPr>
          <w:p w14:paraId="6D01A513"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Medio</w:t>
            </w:r>
          </w:p>
        </w:tc>
        <w:tc>
          <w:tcPr>
            <w:tcW w:w="0" w:type="auto"/>
            <w:vAlign w:val="center"/>
            <w:hideMark/>
          </w:tcPr>
          <w:p w14:paraId="7326BE30"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Bajo</w:t>
            </w:r>
          </w:p>
        </w:tc>
        <w:tc>
          <w:tcPr>
            <w:tcW w:w="0" w:type="auto"/>
            <w:vAlign w:val="center"/>
            <w:hideMark/>
          </w:tcPr>
          <w:p w14:paraId="305B340B"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Muy alto</w:t>
            </w:r>
          </w:p>
        </w:tc>
      </w:tr>
    </w:tbl>
    <w:p w14:paraId="2FB255C2" w14:textId="77777777" w:rsidR="003855C7" w:rsidRPr="000D379D" w:rsidRDefault="003855C7" w:rsidP="00EC070D">
      <w:pPr>
        <w:spacing w:before="100" w:beforeAutospacing="1" w:after="100" w:afterAutospacing="1" w:line="240" w:lineRule="auto"/>
        <w:jc w:val="both"/>
        <w:outlineLvl w:val="2"/>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Valoración comparativa</w:t>
      </w:r>
    </w:p>
    <w:p w14:paraId="6790D1F6"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destaca particularmente por su capacidad para integrar financiamiento, cooperación técnica, generación de conocimiento y fortalecimiento institucional. Mientras la CAF ha incrementado su protagonismo en innovación y desarrollo productivo, el BID mantiene una mayor especialización en educación superior, transformación digital y ecosistemas de innovación. Por su parte, el Banco Mundial conserva un alcance financiero global, y la UNESCO continúa siendo el principal referente normativo y conceptual en materia educativa.</w:t>
      </w:r>
    </w:p>
    <w:p w14:paraId="079733B2"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7. Recomendaciones estratégicas hacia 2030</w:t>
      </w:r>
    </w:p>
    <w:p w14:paraId="4EA6F2C1"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Con base en el análisis realizado, se proponen las siguientes recomendaciones.</w:t>
      </w:r>
    </w:p>
    <w:p w14:paraId="75BBADB4"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1. Incrementar el apoyo a la investigación científica</w:t>
      </w:r>
    </w:p>
    <w:p w14:paraId="3C03B931"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BID debería ampliar los instrumentos financieros destinados al fortalecimiento de la investigación aplicada y la innovación tecnológica.</w:t>
      </w:r>
    </w:p>
    <w:p w14:paraId="5778E548"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2. Consolidar ecosistemas regionales de innovación</w:t>
      </w:r>
    </w:p>
    <w:p w14:paraId="5400E3FB"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Promover proyectos multinacionales que integren universidades, empresas y gobiernos para resolver desafíos comunes de la región.</w:t>
      </w:r>
    </w:p>
    <w:p w14:paraId="73FFC638"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3. Fortalecer la educación superior</w:t>
      </w:r>
    </w:p>
    <w:p w14:paraId="36644523"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Priorizar programas dirigidos a:</w:t>
      </w:r>
    </w:p>
    <w:p w14:paraId="3FBD0DAE" w14:textId="77777777" w:rsidR="003855C7" w:rsidRPr="000D379D" w:rsidRDefault="003855C7" w:rsidP="00EC070D">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universidades regionales; </w:t>
      </w:r>
    </w:p>
    <w:p w14:paraId="52C2AE5E" w14:textId="77777777" w:rsidR="003855C7" w:rsidRPr="000D379D" w:rsidRDefault="003855C7" w:rsidP="00EC070D">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investigación doctoral; </w:t>
      </w:r>
    </w:p>
    <w:p w14:paraId="11A8240B" w14:textId="77777777" w:rsidR="003855C7" w:rsidRPr="000D379D" w:rsidRDefault="003855C7" w:rsidP="00EC070D">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transferencia tecnológica; </w:t>
      </w:r>
    </w:p>
    <w:p w14:paraId="7A7B6FF1" w14:textId="77777777" w:rsidR="003855C7" w:rsidRPr="000D379D" w:rsidRDefault="003855C7" w:rsidP="00EC070D">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internacionalización; </w:t>
      </w:r>
    </w:p>
    <w:p w14:paraId="6C82685C" w14:textId="77777777" w:rsidR="003855C7" w:rsidRPr="000D379D" w:rsidRDefault="003855C7" w:rsidP="00EC070D">
      <w:pPr>
        <w:numPr>
          <w:ilvl w:val="0"/>
          <w:numId w:val="32"/>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ciencia abierta. </w:t>
      </w:r>
    </w:p>
    <w:p w14:paraId="7BB11D99"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4. Impulsar inteligencia artificial responsable</w:t>
      </w:r>
    </w:p>
    <w:p w14:paraId="54C96A6C"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Banco puede liderar el desarrollo de marcos regionales para una adopción ética, inclusiva y segura de la inteligencia artificial.</w:t>
      </w:r>
    </w:p>
    <w:p w14:paraId="1E4FB579"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5. Reducir brechas territoriales</w:t>
      </w:r>
    </w:p>
    <w:p w14:paraId="72F1B7D9"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Incrementar inversiones en conectividad, infraestructura digital y formación docente en zonas rurales y territorios históricamente rezagados.</w:t>
      </w:r>
    </w:p>
    <w:p w14:paraId="78111842"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6. Financiar innovación educativa</w:t>
      </w:r>
    </w:p>
    <w:p w14:paraId="42DC9E34"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Apoyar la experimentación de nuevos modelos pedagógicos basados en evidencia y promover mecanismos para escalar las experiencias exitosas.</w:t>
      </w:r>
    </w:p>
    <w:p w14:paraId="421E0DC8"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7. Fortalecer la evaluación de impacto</w:t>
      </w:r>
    </w:p>
    <w:p w14:paraId="160381C2"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Desarrollar sistemas regionales que permitan medir no solo la ejecución de proyectos, sino también sus efectos sobre aprendizaje, productividad e innovación.</w:t>
      </w:r>
    </w:p>
    <w:p w14:paraId="4B9910CD" w14:textId="77777777" w:rsidR="003855C7" w:rsidRPr="000D379D" w:rsidRDefault="003855C7" w:rsidP="00EC070D">
      <w:pPr>
        <w:spacing w:before="100" w:beforeAutospacing="1" w:after="100" w:afterAutospacing="1" w:line="240" w:lineRule="auto"/>
        <w:jc w:val="both"/>
        <w:outlineLvl w:val="1"/>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8. Promover una mayor integración regional</w:t>
      </w:r>
    </w:p>
    <w:p w14:paraId="4A2672B8"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Fomentar redes latinoamericanas de investigación, movilidad académica, laboratorios compartidos y programas conjuntos de formación avanzada.</w:t>
      </w:r>
    </w:p>
    <w:p w14:paraId="247963BE"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Matriz de recomendaciones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1"/>
        <w:gridCol w:w="2249"/>
        <w:gridCol w:w="2771"/>
        <w:gridCol w:w="2157"/>
      </w:tblGrid>
      <w:tr w:rsidR="003855C7" w:rsidRPr="000D379D" w14:paraId="75D5DC20" w14:textId="77777777">
        <w:trPr>
          <w:tblHeader/>
          <w:tblCellSpacing w:w="15" w:type="dxa"/>
        </w:trPr>
        <w:tc>
          <w:tcPr>
            <w:tcW w:w="0" w:type="auto"/>
            <w:vAlign w:val="center"/>
            <w:hideMark/>
          </w:tcPr>
          <w:p w14:paraId="5FF44391"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Área</w:t>
            </w:r>
          </w:p>
        </w:tc>
        <w:tc>
          <w:tcPr>
            <w:tcW w:w="0" w:type="auto"/>
            <w:vAlign w:val="center"/>
            <w:hideMark/>
          </w:tcPr>
          <w:p w14:paraId="38D0FFD2"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Situación actual</w:t>
            </w:r>
          </w:p>
        </w:tc>
        <w:tc>
          <w:tcPr>
            <w:tcW w:w="0" w:type="auto"/>
            <w:vAlign w:val="center"/>
            <w:hideMark/>
          </w:tcPr>
          <w:p w14:paraId="44F2F594"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Recomendación</w:t>
            </w:r>
          </w:p>
        </w:tc>
        <w:tc>
          <w:tcPr>
            <w:tcW w:w="0" w:type="auto"/>
            <w:vAlign w:val="center"/>
            <w:hideMark/>
          </w:tcPr>
          <w:p w14:paraId="37C403E3" w14:textId="77777777" w:rsidR="003855C7" w:rsidRPr="000D379D" w:rsidRDefault="003855C7" w:rsidP="00EC070D">
            <w:pPr>
              <w:spacing w:after="0" w:line="240" w:lineRule="auto"/>
              <w:jc w:val="both"/>
              <w:rPr>
                <w:rFonts w:eastAsia="Times New Roman" w:cs="Times New Roman"/>
                <w:b/>
                <w:bCs/>
                <w:kern w:val="0"/>
                <w:lang w:eastAsia="es-CO"/>
                <w14:ligatures w14:val="none"/>
              </w:rPr>
            </w:pPr>
            <w:r w:rsidRPr="000D379D">
              <w:rPr>
                <w:rFonts w:eastAsia="Times New Roman" w:cs="Times New Roman"/>
                <w:b/>
                <w:bCs/>
                <w:kern w:val="0"/>
                <w:lang w:eastAsia="es-CO"/>
                <w14:ligatures w14:val="none"/>
              </w:rPr>
              <w:t>Impacto esperado</w:t>
            </w:r>
          </w:p>
        </w:tc>
      </w:tr>
      <w:tr w:rsidR="003855C7" w:rsidRPr="000D379D" w14:paraId="1DFA260F" w14:textId="77777777">
        <w:trPr>
          <w:tblCellSpacing w:w="15" w:type="dxa"/>
        </w:trPr>
        <w:tc>
          <w:tcPr>
            <w:tcW w:w="0" w:type="auto"/>
            <w:vAlign w:val="center"/>
            <w:hideMark/>
          </w:tcPr>
          <w:p w14:paraId="286AAE77"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Educación</w:t>
            </w:r>
          </w:p>
        </w:tc>
        <w:tc>
          <w:tcPr>
            <w:tcW w:w="0" w:type="auto"/>
            <w:vAlign w:val="center"/>
            <w:hideMark/>
          </w:tcPr>
          <w:p w14:paraId="1FB3C201"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Recuperación desigual</w:t>
            </w:r>
          </w:p>
        </w:tc>
        <w:tc>
          <w:tcPr>
            <w:tcW w:w="0" w:type="auto"/>
            <w:vAlign w:val="center"/>
            <w:hideMark/>
          </w:tcPr>
          <w:p w14:paraId="4E2671BC"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Fortalecer calidad y evaluación</w:t>
            </w:r>
          </w:p>
        </w:tc>
        <w:tc>
          <w:tcPr>
            <w:tcW w:w="0" w:type="auto"/>
            <w:vAlign w:val="center"/>
            <w:hideMark/>
          </w:tcPr>
          <w:p w14:paraId="33E61D2D"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Mejores aprendizajes</w:t>
            </w:r>
          </w:p>
        </w:tc>
      </w:tr>
      <w:tr w:rsidR="003855C7" w:rsidRPr="000D379D" w14:paraId="6EE2EB5C" w14:textId="77777777">
        <w:trPr>
          <w:tblCellSpacing w:w="15" w:type="dxa"/>
        </w:trPr>
        <w:tc>
          <w:tcPr>
            <w:tcW w:w="0" w:type="auto"/>
            <w:vAlign w:val="center"/>
            <w:hideMark/>
          </w:tcPr>
          <w:p w14:paraId="2092D7B5"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Educación superior</w:t>
            </w:r>
          </w:p>
        </w:tc>
        <w:tc>
          <w:tcPr>
            <w:tcW w:w="0" w:type="auto"/>
            <w:vAlign w:val="center"/>
            <w:hideMark/>
          </w:tcPr>
          <w:p w14:paraId="3C69EE74"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Heterogeneidad institucional</w:t>
            </w:r>
          </w:p>
        </w:tc>
        <w:tc>
          <w:tcPr>
            <w:tcW w:w="0" w:type="auto"/>
            <w:vAlign w:val="center"/>
            <w:hideMark/>
          </w:tcPr>
          <w:p w14:paraId="46EDBEB8"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Incrementar cooperación universitaria</w:t>
            </w:r>
          </w:p>
        </w:tc>
        <w:tc>
          <w:tcPr>
            <w:tcW w:w="0" w:type="auto"/>
            <w:vAlign w:val="center"/>
            <w:hideMark/>
          </w:tcPr>
          <w:p w14:paraId="29BA65DF"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Mayor competitividad</w:t>
            </w:r>
          </w:p>
        </w:tc>
      </w:tr>
      <w:tr w:rsidR="003855C7" w:rsidRPr="000D379D" w14:paraId="14DDB155" w14:textId="77777777">
        <w:trPr>
          <w:tblCellSpacing w:w="15" w:type="dxa"/>
        </w:trPr>
        <w:tc>
          <w:tcPr>
            <w:tcW w:w="0" w:type="auto"/>
            <w:vAlign w:val="center"/>
            <w:hideMark/>
          </w:tcPr>
          <w:p w14:paraId="126C0FFA"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Ciencia</w:t>
            </w:r>
          </w:p>
        </w:tc>
        <w:tc>
          <w:tcPr>
            <w:tcW w:w="0" w:type="auto"/>
            <w:vAlign w:val="center"/>
            <w:hideMark/>
          </w:tcPr>
          <w:p w14:paraId="56AD9E7E"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Baja inversión</w:t>
            </w:r>
          </w:p>
        </w:tc>
        <w:tc>
          <w:tcPr>
            <w:tcW w:w="0" w:type="auto"/>
            <w:vAlign w:val="center"/>
            <w:hideMark/>
          </w:tcPr>
          <w:p w14:paraId="5DA63C36"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Financiamiento sostenible para I+D</w:t>
            </w:r>
          </w:p>
        </w:tc>
        <w:tc>
          <w:tcPr>
            <w:tcW w:w="0" w:type="auto"/>
            <w:vAlign w:val="center"/>
            <w:hideMark/>
          </w:tcPr>
          <w:p w14:paraId="4D60C7CC"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Mayor producción científica</w:t>
            </w:r>
          </w:p>
        </w:tc>
      </w:tr>
      <w:tr w:rsidR="003855C7" w:rsidRPr="000D379D" w14:paraId="572D2DFC" w14:textId="77777777">
        <w:trPr>
          <w:tblCellSpacing w:w="15" w:type="dxa"/>
        </w:trPr>
        <w:tc>
          <w:tcPr>
            <w:tcW w:w="0" w:type="auto"/>
            <w:vAlign w:val="center"/>
            <w:hideMark/>
          </w:tcPr>
          <w:p w14:paraId="17E8C3A7"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Innovación</w:t>
            </w:r>
          </w:p>
        </w:tc>
        <w:tc>
          <w:tcPr>
            <w:tcW w:w="0" w:type="auto"/>
            <w:vAlign w:val="center"/>
            <w:hideMark/>
          </w:tcPr>
          <w:p w14:paraId="57A692DE"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Ecosistemas fragmentados</w:t>
            </w:r>
          </w:p>
        </w:tc>
        <w:tc>
          <w:tcPr>
            <w:tcW w:w="0" w:type="auto"/>
            <w:vAlign w:val="center"/>
            <w:hideMark/>
          </w:tcPr>
          <w:p w14:paraId="2C5D2724"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Integrar universidades y empresas</w:t>
            </w:r>
          </w:p>
        </w:tc>
        <w:tc>
          <w:tcPr>
            <w:tcW w:w="0" w:type="auto"/>
            <w:vAlign w:val="center"/>
            <w:hideMark/>
          </w:tcPr>
          <w:p w14:paraId="0CB3576A"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Incremento de innovación</w:t>
            </w:r>
          </w:p>
        </w:tc>
      </w:tr>
      <w:tr w:rsidR="003855C7" w:rsidRPr="000D379D" w14:paraId="27BF53F0" w14:textId="77777777">
        <w:trPr>
          <w:tblCellSpacing w:w="15" w:type="dxa"/>
        </w:trPr>
        <w:tc>
          <w:tcPr>
            <w:tcW w:w="0" w:type="auto"/>
            <w:vAlign w:val="center"/>
            <w:hideMark/>
          </w:tcPr>
          <w:p w14:paraId="7B4A0A63"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Digitalización</w:t>
            </w:r>
          </w:p>
        </w:tc>
        <w:tc>
          <w:tcPr>
            <w:tcW w:w="0" w:type="auto"/>
            <w:vAlign w:val="center"/>
            <w:hideMark/>
          </w:tcPr>
          <w:p w14:paraId="627D831B"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Brechas tecnológicas</w:t>
            </w:r>
          </w:p>
        </w:tc>
        <w:tc>
          <w:tcPr>
            <w:tcW w:w="0" w:type="auto"/>
            <w:vAlign w:val="center"/>
            <w:hideMark/>
          </w:tcPr>
          <w:p w14:paraId="041B887E"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Universalizar conectividad</w:t>
            </w:r>
          </w:p>
        </w:tc>
        <w:tc>
          <w:tcPr>
            <w:tcW w:w="0" w:type="auto"/>
            <w:vAlign w:val="center"/>
            <w:hideMark/>
          </w:tcPr>
          <w:p w14:paraId="2F4FE98B"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Inclusión digital</w:t>
            </w:r>
          </w:p>
        </w:tc>
      </w:tr>
      <w:tr w:rsidR="003855C7" w:rsidRPr="000D379D" w14:paraId="569BC4C3" w14:textId="77777777">
        <w:trPr>
          <w:tblCellSpacing w:w="15" w:type="dxa"/>
        </w:trPr>
        <w:tc>
          <w:tcPr>
            <w:tcW w:w="0" w:type="auto"/>
            <w:vAlign w:val="center"/>
            <w:hideMark/>
          </w:tcPr>
          <w:p w14:paraId="7203DAE0"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IA</w:t>
            </w:r>
          </w:p>
        </w:tc>
        <w:tc>
          <w:tcPr>
            <w:tcW w:w="0" w:type="auto"/>
            <w:vAlign w:val="center"/>
            <w:hideMark/>
          </w:tcPr>
          <w:p w14:paraId="18F0C886"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Desarrollo inicial</w:t>
            </w:r>
          </w:p>
        </w:tc>
        <w:tc>
          <w:tcPr>
            <w:tcW w:w="0" w:type="auto"/>
            <w:vAlign w:val="center"/>
            <w:hideMark/>
          </w:tcPr>
          <w:p w14:paraId="68498DFA"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Marco regional de gobernanza</w:t>
            </w:r>
          </w:p>
        </w:tc>
        <w:tc>
          <w:tcPr>
            <w:tcW w:w="0" w:type="auto"/>
            <w:vAlign w:val="center"/>
            <w:hideMark/>
          </w:tcPr>
          <w:p w14:paraId="68D88CBB" w14:textId="77777777" w:rsidR="003855C7" w:rsidRPr="000D379D" w:rsidRDefault="003855C7" w:rsidP="00EC070D">
            <w:pPr>
              <w:spacing w:after="0"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Innovación responsable</w:t>
            </w:r>
          </w:p>
        </w:tc>
      </w:tr>
    </w:tbl>
    <w:p w14:paraId="7777CC36"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8. Perspectivas hacia 2030</w:t>
      </w:r>
    </w:p>
    <w:p w14:paraId="49E22ECD"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 próxima década estará marcada por la convergencia entre inteligencia artificial, automatización, transición energética, cambio climático y transformación demográfica. Estos procesos modificarán profundamente las competencias requeridas por los sistemas educativos y los mercados laborales.</w:t>
      </w:r>
    </w:p>
    <w:p w14:paraId="052A39A1"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este escenario, el BID tendrá la oportunidad de desempeñar un papel aún más estratégico como articulador de políticas regionales de conocimiento e innovación. Su capacidad para combinar financiamiento, cooperación técnica y producción de evidencia lo posiciona como un actor clave para impulsar una agenda regional orientada al fortalecimiento del capital humano y la competitividad.</w:t>
      </w:r>
    </w:p>
    <w:p w14:paraId="3FF19015"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No obstante, el éxito de esta agenda dependerá de la capacidad de los países para incrementar la inversión en investigación y desarrollo, fortalecer la gobernanza de los sistemas de innovación y consolidar políticas de Estado que trasciendan los ciclos políticos.</w:t>
      </w:r>
    </w:p>
    <w:p w14:paraId="4C01BD6C"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9. Conclusiones</w:t>
      </w:r>
    </w:p>
    <w:p w14:paraId="79CCA3AF"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El período 2021–2026 representa una etapa de transformación significativa en la estrategia del Banco Interamericano de Desarrollo. Las acciones desarrolladas muestran una evolución desde un enfoque centrado en la expansión de servicios hacia una visión integral del desarrollo basada en conocimiento, innovación y fortalecimiento institucional.</w:t>
      </w:r>
    </w:p>
    <w:p w14:paraId="3AB06D68"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Las principales fortalezas del BID radican en su capacidad para articular financiamiento, cooperación técnica y generación de conocimiento, así como en su apuesta por la transformación digital, la calidad educativa y los ecosistemas de innovación.</w:t>
      </w:r>
    </w:p>
    <w:p w14:paraId="1D61F9F0"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Sin embargo, persisten desafíos estructurales relacionados con la desigualdad territorial, la baja inversión en ciencia y tecnología, la fragmentación institucional y la necesidad de fortalecer la evaluación de impacto y la sostenibilidad de las intervenciones.</w:t>
      </w:r>
    </w:p>
    <w:p w14:paraId="52BE26C8" w14:textId="77777777" w:rsidR="003855C7" w:rsidRPr="000D379D" w:rsidRDefault="003855C7" w:rsidP="00EC070D">
      <w:p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En consecuencia, el BID se encuentra en una posición privilegiada para liderar una nueva generación de políticas regionales que integren educación, educación superior, ciencia, tecnología e innovación como pilares de un modelo de desarrollo más productivo, resiliente e inclusivo para América Latina y el Caribe.</w:t>
      </w:r>
    </w:p>
    <w:p w14:paraId="087336F8" w14:textId="77777777" w:rsidR="003855C7" w:rsidRPr="000D379D" w:rsidRDefault="003855C7" w:rsidP="00EC070D">
      <w:pPr>
        <w:spacing w:before="100" w:beforeAutospacing="1" w:after="100" w:afterAutospacing="1" w:line="240" w:lineRule="auto"/>
        <w:jc w:val="both"/>
        <w:outlineLvl w:val="0"/>
        <w:rPr>
          <w:rFonts w:eastAsia="Times New Roman" w:cs="Times New Roman"/>
          <w:b/>
          <w:bCs/>
          <w:kern w:val="36"/>
          <w:lang w:eastAsia="es-CO"/>
          <w14:ligatures w14:val="none"/>
        </w:rPr>
      </w:pPr>
      <w:r w:rsidRPr="000D379D">
        <w:rPr>
          <w:rFonts w:eastAsia="Times New Roman" w:cs="Times New Roman"/>
          <w:b/>
          <w:bCs/>
          <w:kern w:val="36"/>
          <w:lang w:eastAsia="es-CO"/>
          <w14:ligatures w14:val="none"/>
        </w:rPr>
        <w:t>Bibliografía básica (APA 7.ª edición)</w:t>
      </w:r>
    </w:p>
    <w:p w14:paraId="47106D2F" w14:textId="77777777" w:rsidR="003855C7" w:rsidRPr="000D379D" w:rsidRDefault="003855C7" w:rsidP="00EC070D">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Banco Interamericano de Desarrollo. (2021–2025). </w:t>
      </w:r>
      <w:r w:rsidRPr="000D379D">
        <w:rPr>
          <w:rFonts w:eastAsia="Times New Roman" w:cs="Times New Roman"/>
          <w:i/>
          <w:iCs/>
          <w:kern w:val="0"/>
          <w:lang w:eastAsia="es-CO"/>
          <w14:ligatures w14:val="none"/>
        </w:rPr>
        <w:t>Marco Estratégico Institucional y documentos de política sectorial sobre educación, educación superior, ciencia, tecnología e innovación</w:t>
      </w:r>
      <w:r w:rsidRPr="000D379D">
        <w:rPr>
          <w:rFonts w:eastAsia="Times New Roman" w:cs="Times New Roman"/>
          <w:kern w:val="0"/>
          <w:lang w:eastAsia="es-CO"/>
          <w14:ligatures w14:val="none"/>
        </w:rPr>
        <w:t xml:space="preserve">. Washington, D. C.: BID. </w:t>
      </w:r>
    </w:p>
    <w:p w14:paraId="5C397A8A" w14:textId="77777777" w:rsidR="003855C7" w:rsidRPr="000D379D" w:rsidRDefault="003855C7" w:rsidP="00EC070D">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lastRenderedPageBreak/>
        <w:t xml:space="preserve">Banco Interamericano de Desarrollo. (2022). </w:t>
      </w:r>
      <w:r w:rsidRPr="000D379D">
        <w:rPr>
          <w:rFonts w:eastAsia="Times New Roman" w:cs="Times New Roman"/>
          <w:i/>
          <w:iCs/>
          <w:kern w:val="0"/>
          <w:lang w:eastAsia="es-CO"/>
          <w14:ligatures w14:val="none"/>
        </w:rPr>
        <w:t>Transformación digital en América Latina y el Caribe: oportunidades para el desarrollo</w:t>
      </w:r>
      <w:r w:rsidRPr="000D379D">
        <w:rPr>
          <w:rFonts w:eastAsia="Times New Roman" w:cs="Times New Roman"/>
          <w:kern w:val="0"/>
          <w:lang w:eastAsia="es-CO"/>
          <w14:ligatures w14:val="none"/>
        </w:rPr>
        <w:t xml:space="preserve">. Washington, D. C.: BID. </w:t>
      </w:r>
    </w:p>
    <w:p w14:paraId="241EF180" w14:textId="77777777" w:rsidR="003855C7" w:rsidRPr="000D379D" w:rsidRDefault="003855C7" w:rsidP="00EC070D">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Banco Interamericano de Desarrollo. (2023). </w:t>
      </w:r>
      <w:r w:rsidRPr="000D379D">
        <w:rPr>
          <w:rFonts w:eastAsia="Times New Roman" w:cs="Times New Roman"/>
          <w:i/>
          <w:iCs/>
          <w:kern w:val="0"/>
          <w:lang w:eastAsia="es-CO"/>
          <w14:ligatures w14:val="none"/>
        </w:rPr>
        <w:t>Educación: políticas para recuperar y acelerar los aprendizajes</w:t>
      </w:r>
      <w:r w:rsidRPr="000D379D">
        <w:rPr>
          <w:rFonts w:eastAsia="Times New Roman" w:cs="Times New Roman"/>
          <w:kern w:val="0"/>
          <w:lang w:eastAsia="es-CO"/>
          <w14:ligatures w14:val="none"/>
        </w:rPr>
        <w:t xml:space="preserve">. Washington, D. C.: BID. </w:t>
      </w:r>
    </w:p>
    <w:p w14:paraId="52238E85" w14:textId="77777777" w:rsidR="003855C7" w:rsidRPr="000D379D" w:rsidRDefault="003855C7" w:rsidP="00EC070D">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Banco Interamericano de Desarrollo. (2024). </w:t>
      </w:r>
      <w:r w:rsidRPr="000D379D">
        <w:rPr>
          <w:rFonts w:eastAsia="Times New Roman" w:cs="Times New Roman"/>
          <w:i/>
          <w:iCs/>
          <w:kern w:val="0"/>
          <w:lang w:eastAsia="es-CO"/>
          <w14:ligatures w14:val="none"/>
        </w:rPr>
        <w:t>Innovación para el desarrollo sostenible en América Latina y el Caribe</w:t>
      </w:r>
      <w:r w:rsidRPr="000D379D">
        <w:rPr>
          <w:rFonts w:eastAsia="Times New Roman" w:cs="Times New Roman"/>
          <w:kern w:val="0"/>
          <w:lang w:eastAsia="es-CO"/>
          <w14:ligatures w14:val="none"/>
        </w:rPr>
        <w:t xml:space="preserve">. Washington, D. C.: BID. </w:t>
      </w:r>
    </w:p>
    <w:p w14:paraId="391F680C" w14:textId="77777777" w:rsidR="003855C7" w:rsidRPr="000D379D" w:rsidRDefault="003855C7" w:rsidP="00EC070D">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CEPAL. (2023). </w:t>
      </w:r>
      <w:r w:rsidRPr="000D379D">
        <w:rPr>
          <w:rFonts w:eastAsia="Times New Roman" w:cs="Times New Roman"/>
          <w:i/>
          <w:iCs/>
          <w:kern w:val="0"/>
          <w:lang w:eastAsia="es-CO"/>
          <w14:ligatures w14:val="none"/>
        </w:rPr>
        <w:t>Panorama Social de América Latina</w:t>
      </w:r>
      <w:r w:rsidRPr="000D379D">
        <w:rPr>
          <w:rFonts w:eastAsia="Times New Roman" w:cs="Times New Roman"/>
          <w:kern w:val="0"/>
          <w:lang w:eastAsia="es-CO"/>
          <w14:ligatures w14:val="none"/>
        </w:rPr>
        <w:t xml:space="preserve">. Santiago de Chile. </w:t>
      </w:r>
    </w:p>
    <w:p w14:paraId="04E76523" w14:textId="77777777" w:rsidR="003855C7" w:rsidRPr="000D379D" w:rsidRDefault="003855C7" w:rsidP="00EC070D">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UNESCO. (2023). </w:t>
      </w:r>
      <w:r w:rsidRPr="000D379D">
        <w:rPr>
          <w:rFonts w:eastAsia="Times New Roman" w:cs="Times New Roman"/>
          <w:i/>
          <w:iCs/>
          <w:kern w:val="0"/>
          <w:lang w:eastAsia="es-CO"/>
          <w14:ligatures w14:val="none"/>
        </w:rPr>
        <w:t xml:space="preserve">Global </w:t>
      </w:r>
      <w:proofErr w:type="spellStart"/>
      <w:r w:rsidRPr="000D379D">
        <w:rPr>
          <w:rFonts w:eastAsia="Times New Roman" w:cs="Times New Roman"/>
          <w:i/>
          <w:iCs/>
          <w:kern w:val="0"/>
          <w:lang w:eastAsia="es-CO"/>
          <w14:ligatures w14:val="none"/>
        </w:rPr>
        <w:t>Education</w:t>
      </w:r>
      <w:proofErr w:type="spellEnd"/>
      <w:r w:rsidRPr="000D379D">
        <w:rPr>
          <w:rFonts w:eastAsia="Times New Roman" w:cs="Times New Roman"/>
          <w:i/>
          <w:iCs/>
          <w:kern w:val="0"/>
          <w:lang w:eastAsia="es-CO"/>
          <w14:ligatures w14:val="none"/>
        </w:rPr>
        <w:t xml:space="preserve"> </w:t>
      </w:r>
      <w:proofErr w:type="spellStart"/>
      <w:r w:rsidRPr="000D379D">
        <w:rPr>
          <w:rFonts w:eastAsia="Times New Roman" w:cs="Times New Roman"/>
          <w:i/>
          <w:iCs/>
          <w:kern w:val="0"/>
          <w:lang w:eastAsia="es-CO"/>
          <w14:ligatures w14:val="none"/>
        </w:rPr>
        <w:t>Monitoring</w:t>
      </w:r>
      <w:proofErr w:type="spellEnd"/>
      <w:r w:rsidRPr="000D379D">
        <w:rPr>
          <w:rFonts w:eastAsia="Times New Roman" w:cs="Times New Roman"/>
          <w:i/>
          <w:iCs/>
          <w:kern w:val="0"/>
          <w:lang w:eastAsia="es-CO"/>
          <w14:ligatures w14:val="none"/>
        </w:rPr>
        <w:t xml:space="preserve"> </w:t>
      </w:r>
      <w:proofErr w:type="spellStart"/>
      <w:r w:rsidRPr="000D379D">
        <w:rPr>
          <w:rFonts w:eastAsia="Times New Roman" w:cs="Times New Roman"/>
          <w:i/>
          <w:iCs/>
          <w:kern w:val="0"/>
          <w:lang w:eastAsia="es-CO"/>
          <w14:ligatures w14:val="none"/>
        </w:rPr>
        <w:t>Report</w:t>
      </w:r>
      <w:proofErr w:type="spellEnd"/>
      <w:r w:rsidRPr="000D379D">
        <w:rPr>
          <w:rFonts w:eastAsia="Times New Roman" w:cs="Times New Roman"/>
          <w:kern w:val="0"/>
          <w:lang w:eastAsia="es-CO"/>
          <w14:ligatures w14:val="none"/>
        </w:rPr>
        <w:t xml:space="preserve">. París. </w:t>
      </w:r>
    </w:p>
    <w:p w14:paraId="3C1F9BD9" w14:textId="77777777" w:rsidR="003855C7" w:rsidRPr="000D379D" w:rsidRDefault="003855C7" w:rsidP="00EC070D">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UNESCO. (2024). </w:t>
      </w:r>
      <w:proofErr w:type="spellStart"/>
      <w:r w:rsidRPr="000D379D">
        <w:rPr>
          <w:rFonts w:eastAsia="Times New Roman" w:cs="Times New Roman"/>
          <w:i/>
          <w:iCs/>
          <w:kern w:val="0"/>
          <w:lang w:eastAsia="es-CO"/>
          <w14:ligatures w14:val="none"/>
        </w:rPr>
        <w:t>Technology</w:t>
      </w:r>
      <w:proofErr w:type="spellEnd"/>
      <w:r w:rsidRPr="000D379D">
        <w:rPr>
          <w:rFonts w:eastAsia="Times New Roman" w:cs="Times New Roman"/>
          <w:i/>
          <w:iCs/>
          <w:kern w:val="0"/>
          <w:lang w:eastAsia="es-CO"/>
          <w14:ligatures w14:val="none"/>
        </w:rPr>
        <w:t xml:space="preserve"> in </w:t>
      </w:r>
      <w:proofErr w:type="spellStart"/>
      <w:r w:rsidRPr="000D379D">
        <w:rPr>
          <w:rFonts w:eastAsia="Times New Roman" w:cs="Times New Roman"/>
          <w:i/>
          <w:iCs/>
          <w:kern w:val="0"/>
          <w:lang w:eastAsia="es-CO"/>
          <w14:ligatures w14:val="none"/>
        </w:rPr>
        <w:t>Education</w:t>
      </w:r>
      <w:proofErr w:type="spellEnd"/>
      <w:r w:rsidRPr="000D379D">
        <w:rPr>
          <w:rFonts w:eastAsia="Times New Roman" w:cs="Times New Roman"/>
          <w:i/>
          <w:iCs/>
          <w:kern w:val="0"/>
          <w:lang w:eastAsia="es-CO"/>
          <w14:ligatures w14:val="none"/>
        </w:rPr>
        <w:t xml:space="preserve">: </w:t>
      </w:r>
      <w:proofErr w:type="gramStart"/>
      <w:r w:rsidRPr="000D379D">
        <w:rPr>
          <w:rFonts w:eastAsia="Times New Roman" w:cs="Times New Roman"/>
          <w:i/>
          <w:iCs/>
          <w:kern w:val="0"/>
          <w:lang w:eastAsia="es-CO"/>
          <w14:ligatures w14:val="none"/>
        </w:rPr>
        <w:t xml:space="preserve">A Tool </w:t>
      </w:r>
      <w:proofErr w:type="spellStart"/>
      <w:r w:rsidRPr="000D379D">
        <w:rPr>
          <w:rFonts w:eastAsia="Times New Roman" w:cs="Times New Roman"/>
          <w:i/>
          <w:iCs/>
          <w:kern w:val="0"/>
          <w:lang w:eastAsia="es-CO"/>
          <w14:ligatures w14:val="none"/>
        </w:rPr>
        <w:t>on</w:t>
      </w:r>
      <w:proofErr w:type="spellEnd"/>
      <w:r w:rsidRPr="000D379D">
        <w:rPr>
          <w:rFonts w:eastAsia="Times New Roman" w:cs="Times New Roman"/>
          <w:i/>
          <w:iCs/>
          <w:kern w:val="0"/>
          <w:lang w:eastAsia="es-CO"/>
          <w14:ligatures w14:val="none"/>
        </w:rPr>
        <w:t xml:space="preserve"> </w:t>
      </w:r>
      <w:proofErr w:type="spellStart"/>
      <w:r w:rsidRPr="000D379D">
        <w:rPr>
          <w:rFonts w:eastAsia="Times New Roman" w:cs="Times New Roman"/>
          <w:i/>
          <w:iCs/>
          <w:kern w:val="0"/>
          <w:lang w:eastAsia="es-CO"/>
          <w14:ligatures w14:val="none"/>
        </w:rPr>
        <w:t>Whose</w:t>
      </w:r>
      <w:proofErr w:type="spellEnd"/>
      <w:r w:rsidRPr="000D379D">
        <w:rPr>
          <w:rFonts w:eastAsia="Times New Roman" w:cs="Times New Roman"/>
          <w:i/>
          <w:iCs/>
          <w:kern w:val="0"/>
          <w:lang w:eastAsia="es-CO"/>
          <w14:ligatures w14:val="none"/>
        </w:rPr>
        <w:t xml:space="preserve"> </w:t>
      </w:r>
      <w:proofErr w:type="spellStart"/>
      <w:r w:rsidRPr="000D379D">
        <w:rPr>
          <w:rFonts w:eastAsia="Times New Roman" w:cs="Times New Roman"/>
          <w:i/>
          <w:iCs/>
          <w:kern w:val="0"/>
          <w:lang w:eastAsia="es-CO"/>
          <w14:ligatures w14:val="none"/>
        </w:rPr>
        <w:t>Terms</w:t>
      </w:r>
      <w:proofErr w:type="spellEnd"/>
      <w:r w:rsidRPr="000D379D">
        <w:rPr>
          <w:rFonts w:eastAsia="Times New Roman" w:cs="Times New Roman"/>
          <w:i/>
          <w:iCs/>
          <w:kern w:val="0"/>
          <w:lang w:eastAsia="es-CO"/>
          <w14:ligatures w14:val="none"/>
        </w:rPr>
        <w:t>?</w:t>
      </w:r>
      <w:proofErr w:type="gramEnd"/>
      <w:r w:rsidRPr="000D379D">
        <w:rPr>
          <w:rFonts w:eastAsia="Times New Roman" w:cs="Times New Roman"/>
          <w:kern w:val="0"/>
          <w:lang w:eastAsia="es-CO"/>
          <w14:ligatures w14:val="none"/>
        </w:rPr>
        <w:t xml:space="preserve"> París. </w:t>
      </w:r>
    </w:p>
    <w:p w14:paraId="23AAAD26" w14:textId="77777777" w:rsidR="003855C7" w:rsidRPr="000D379D" w:rsidRDefault="003855C7" w:rsidP="00EC070D">
      <w:pPr>
        <w:numPr>
          <w:ilvl w:val="0"/>
          <w:numId w:val="33"/>
        </w:numPr>
        <w:spacing w:before="100" w:beforeAutospacing="1" w:after="100" w:afterAutospacing="1" w:line="240" w:lineRule="auto"/>
        <w:jc w:val="both"/>
        <w:rPr>
          <w:rFonts w:eastAsia="Times New Roman" w:cs="Times New Roman"/>
          <w:kern w:val="0"/>
          <w:lang w:eastAsia="es-CO"/>
          <w14:ligatures w14:val="none"/>
        </w:rPr>
      </w:pPr>
      <w:r w:rsidRPr="000D379D">
        <w:rPr>
          <w:rFonts w:eastAsia="Times New Roman" w:cs="Times New Roman"/>
          <w:kern w:val="0"/>
          <w:lang w:eastAsia="es-CO"/>
          <w14:ligatures w14:val="none"/>
        </w:rPr>
        <w:t xml:space="preserve">Banco Mundial. (2023). </w:t>
      </w:r>
      <w:r w:rsidRPr="000D379D">
        <w:rPr>
          <w:rFonts w:eastAsia="Times New Roman" w:cs="Times New Roman"/>
          <w:i/>
          <w:iCs/>
          <w:kern w:val="0"/>
          <w:lang w:eastAsia="es-CO"/>
          <w14:ligatures w14:val="none"/>
        </w:rPr>
        <w:t xml:space="preserve">World </w:t>
      </w:r>
      <w:proofErr w:type="spellStart"/>
      <w:r w:rsidRPr="000D379D">
        <w:rPr>
          <w:rFonts w:eastAsia="Times New Roman" w:cs="Times New Roman"/>
          <w:i/>
          <w:iCs/>
          <w:kern w:val="0"/>
          <w:lang w:eastAsia="es-CO"/>
          <w14:ligatures w14:val="none"/>
        </w:rPr>
        <w:t>Development</w:t>
      </w:r>
      <w:proofErr w:type="spellEnd"/>
      <w:r w:rsidRPr="000D379D">
        <w:rPr>
          <w:rFonts w:eastAsia="Times New Roman" w:cs="Times New Roman"/>
          <w:i/>
          <w:iCs/>
          <w:kern w:val="0"/>
          <w:lang w:eastAsia="es-CO"/>
          <w14:ligatures w14:val="none"/>
        </w:rPr>
        <w:t xml:space="preserve"> </w:t>
      </w:r>
      <w:proofErr w:type="spellStart"/>
      <w:r w:rsidRPr="000D379D">
        <w:rPr>
          <w:rFonts w:eastAsia="Times New Roman" w:cs="Times New Roman"/>
          <w:i/>
          <w:iCs/>
          <w:kern w:val="0"/>
          <w:lang w:eastAsia="es-CO"/>
          <w14:ligatures w14:val="none"/>
        </w:rPr>
        <w:t>Report</w:t>
      </w:r>
      <w:proofErr w:type="spellEnd"/>
      <w:r w:rsidRPr="000D379D">
        <w:rPr>
          <w:rFonts w:eastAsia="Times New Roman" w:cs="Times New Roman"/>
          <w:i/>
          <w:iCs/>
          <w:kern w:val="0"/>
          <w:lang w:eastAsia="es-CO"/>
          <w14:ligatures w14:val="none"/>
        </w:rPr>
        <w:t xml:space="preserve">: Data </w:t>
      </w:r>
      <w:proofErr w:type="spellStart"/>
      <w:r w:rsidRPr="000D379D">
        <w:rPr>
          <w:rFonts w:eastAsia="Times New Roman" w:cs="Times New Roman"/>
          <w:i/>
          <w:iCs/>
          <w:kern w:val="0"/>
          <w:lang w:eastAsia="es-CO"/>
          <w14:ligatures w14:val="none"/>
        </w:rPr>
        <w:t>for</w:t>
      </w:r>
      <w:proofErr w:type="spellEnd"/>
      <w:r w:rsidRPr="000D379D">
        <w:rPr>
          <w:rFonts w:eastAsia="Times New Roman" w:cs="Times New Roman"/>
          <w:i/>
          <w:iCs/>
          <w:kern w:val="0"/>
          <w:lang w:eastAsia="es-CO"/>
          <w14:ligatures w14:val="none"/>
        </w:rPr>
        <w:t xml:space="preserve"> Better </w:t>
      </w:r>
      <w:proofErr w:type="spellStart"/>
      <w:r w:rsidRPr="000D379D">
        <w:rPr>
          <w:rFonts w:eastAsia="Times New Roman" w:cs="Times New Roman"/>
          <w:i/>
          <w:iCs/>
          <w:kern w:val="0"/>
          <w:lang w:eastAsia="es-CO"/>
          <w14:ligatures w14:val="none"/>
        </w:rPr>
        <w:t>Lives</w:t>
      </w:r>
      <w:proofErr w:type="spellEnd"/>
      <w:r w:rsidRPr="000D379D">
        <w:rPr>
          <w:rFonts w:eastAsia="Times New Roman" w:cs="Times New Roman"/>
          <w:kern w:val="0"/>
          <w:lang w:eastAsia="es-CO"/>
          <w14:ligatures w14:val="none"/>
        </w:rPr>
        <w:t xml:space="preserve">. Washington, D. C. </w:t>
      </w:r>
    </w:p>
    <w:p w14:paraId="7F18CB17" w14:textId="77777777" w:rsidR="00D16B4B" w:rsidRPr="00C26824" w:rsidRDefault="00D16B4B" w:rsidP="00EC070D">
      <w:pPr>
        <w:jc w:val="both"/>
        <w:rPr>
          <w:lang w:val="es-MX"/>
        </w:rPr>
      </w:pPr>
    </w:p>
    <w:sectPr w:rsidR="00D16B4B" w:rsidRPr="00C268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736E"/>
    <w:multiLevelType w:val="multilevel"/>
    <w:tmpl w:val="477C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72326"/>
    <w:multiLevelType w:val="multilevel"/>
    <w:tmpl w:val="4ECC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B23A7"/>
    <w:multiLevelType w:val="multilevel"/>
    <w:tmpl w:val="FB40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C3F6A"/>
    <w:multiLevelType w:val="multilevel"/>
    <w:tmpl w:val="159C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019BA"/>
    <w:multiLevelType w:val="multilevel"/>
    <w:tmpl w:val="4DFC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A49CC"/>
    <w:multiLevelType w:val="multilevel"/>
    <w:tmpl w:val="D422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E23E7"/>
    <w:multiLevelType w:val="multilevel"/>
    <w:tmpl w:val="1BDE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770984"/>
    <w:multiLevelType w:val="multilevel"/>
    <w:tmpl w:val="5EB26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5219A4"/>
    <w:multiLevelType w:val="multilevel"/>
    <w:tmpl w:val="B1B2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644D4"/>
    <w:multiLevelType w:val="multilevel"/>
    <w:tmpl w:val="984C3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D0305"/>
    <w:multiLevelType w:val="multilevel"/>
    <w:tmpl w:val="0C10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544F18"/>
    <w:multiLevelType w:val="multilevel"/>
    <w:tmpl w:val="3526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72193A"/>
    <w:multiLevelType w:val="multilevel"/>
    <w:tmpl w:val="DC32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793FE2"/>
    <w:multiLevelType w:val="multilevel"/>
    <w:tmpl w:val="0A90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62197E"/>
    <w:multiLevelType w:val="multilevel"/>
    <w:tmpl w:val="507A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6F34A9"/>
    <w:multiLevelType w:val="multilevel"/>
    <w:tmpl w:val="D4A2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016CA4"/>
    <w:multiLevelType w:val="multilevel"/>
    <w:tmpl w:val="4B706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001579"/>
    <w:multiLevelType w:val="multilevel"/>
    <w:tmpl w:val="DC60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22634A"/>
    <w:multiLevelType w:val="multilevel"/>
    <w:tmpl w:val="930E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AB2752"/>
    <w:multiLevelType w:val="multilevel"/>
    <w:tmpl w:val="7B42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A537D"/>
    <w:multiLevelType w:val="multilevel"/>
    <w:tmpl w:val="64E40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681F53"/>
    <w:multiLevelType w:val="multilevel"/>
    <w:tmpl w:val="C892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9B61C0"/>
    <w:multiLevelType w:val="multilevel"/>
    <w:tmpl w:val="9934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BE12B6"/>
    <w:multiLevelType w:val="multilevel"/>
    <w:tmpl w:val="1758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E42F8B"/>
    <w:multiLevelType w:val="multilevel"/>
    <w:tmpl w:val="2534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A21214"/>
    <w:multiLevelType w:val="multilevel"/>
    <w:tmpl w:val="67BC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BD4A88"/>
    <w:multiLevelType w:val="multilevel"/>
    <w:tmpl w:val="FB9E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E03059"/>
    <w:multiLevelType w:val="multilevel"/>
    <w:tmpl w:val="FCA25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884629"/>
    <w:multiLevelType w:val="multilevel"/>
    <w:tmpl w:val="C8B6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430273"/>
    <w:multiLevelType w:val="multilevel"/>
    <w:tmpl w:val="6E0C6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9B234C"/>
    <w:multiLevelType w:val="multilevel"/>
    <w:tmpl w:val="8D72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A06D24"/>
    <w:multiLevelType w:val="multilevel"/>
    <w:tmpl w:val="B116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91792C"/>
    <w:multiLevelType w:val="multilevel"/>
    <w:tmpl w:val="D9EE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0709E1"/>
    <w:multiLevelType w:val="multilevel"/>
    <w:tmpl w:val="4F001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9747407">
    <w:abstractNumId w:val="28"/>
  </w:num>
  <w:num w:numId="2" w16cid:durableId="118379775">
    <w:abstractNumId w:val="4"/>
  </w:num>
  <w:num w:numId="3" w16cid:durableId="1578634905">
    <w:abstractNumId w:val="32"/>
  </w:num>
  <w:num w:numId="4" w16cid:durableId="1399787340">
    <w:abstractNumId w:val="14"/>
  </w:num>
  <w:num w:numId="5" w16cid:durableId="918028752">
    <w:abstractNumId w:val="33"/>
  </w:num>
  <w:num w:numId="6" w16cid:durableId="53352661">
    <w:abstractNumId w:val="29"/>
  </w:num>
  <w:num w:numId="7" w16cid:durableId="1284112709">
    <w:abstractNumId w:val="23"/>
  </w:num>
  <w:num w:numId="8" w16cid:durableId="845562579">
    <w:abstractNumId w:val="20"/>
  </w:num>
  <w:num w:numId="9" w16cid:durableId="925070933">
    <w:abstractNumId w:val="16"/>
  </w:num>
  <w:num w:numId="10" w16cid:durableId="1150363339">
    <w:abstractNumId w:val="24"/>
  </w:num>
  <w:num w:numId="11" w16cid:durableId="1772554557">
    <w:abstractNumId w:val="0"/>
  </w:num>
  <w:num w:numId="12" w16cid:durableId="678657561">
    <w:abstractNumId w:val="5"/>
  </w:num>
  <w:num w:numId="13" w16cid:durableId="1008369129">
    <w:abstractNumId w:val="17"/>
  </w:num>
  <w:num w:numId="14" w16cid:durableId="867183299">
    <w:abstractNumId w:val="11"/>
  </w:num>
  <w:num w:numId="15" w16cid:durableId="1355770096">
    <w:abstractNumId w:val="13"/>
  </w:num>
  <w:num w:numId="16" w16cid:durableId="1703356537">
    <w:abstractNumId w:val="1"/>
  </w:num>
  <w:num w:numId="17" w16cid:durableId="676077208">
    <w:abstractNumId w:val="26"/>
  </w:num>
  <w:num w:numId="18" w16cid:durableId="936793048">
    <w:abstractNumId w:val="27"/>
  </w:num>
  <w:num w:numId="19" w16cid:durableId="568930990">
    <w:abstractNumId w:val="21"/>
  </w:num>
  <w:num w:numId="20" w16cid:durableId="53898860">
    <w:abstractNumId w:val="30"/>
  </w:num>
  <w:num w:numId="21" w16cid:durableId="1126511531">
    <w:abstractNumId w:val="31"/>
  </w:num>
  <w:num w:numId="22" w16cid:durableId="317659960">
    <w:abstractNumId w:val="22"/>
  </w:num>
  <w:num w:numId="23" w16cid:durableId="1988708591">
    <w:abstractNumId w:val="9"/>
  </w:num>
  <w:num w:numId="24" w16cid:durableId="19740755">
    <w:abstractNumId w:val="12"/>
  </w:num>
  <w:num w:numId="25" w16cid:durableId="1321731166">
    <w:abstractNumId w:val="3"/>
  </w:num>
  <w:num w:numId="26" w16cid:durableId="1081102564">
    <w:abstractNumId w:val="15"/>
  </w:num>
  <w:num w:numId="27" w16cid:durableId="1188983949">
    <w:abstractNumId w:val="2"/>
  </w:num>
  <w:num w:numId="28" w16cid:durableId="1988431669">
    <w:abstractNumId w:val="10"/>
  </w:num>
  <w:num w:numId="29" w16cid:durableId="1677884957">
    <w:abstractNumId w:val="8"/>
  </w:num>
  <w:num w:numId="30" w16cid:durableId="1159731911">
    <w:abstractNumId w:val="19"/>
  </w:num>
  <w:num w:numId="31" w16cid:durableId="1558663258">
    <w:abstractNumId w:val="18"/>
  </w:num>
  <w:num w:numId="32" w16cid:durableId="1582594704">
    <w:abstractNumId w:val="25"/>
  </w:num>
  <w:num w:numId="33" w16cid:durableId="1097674568">
    <w:abstractNumId w:val="6"/>
  </w:num>
  <w:num w:numId="34" w16cid:durableId="16396470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066"/>
    <w:rsid w:val="00003C10"/>
    <w:rsid w:val="00027F97"/>
    <w:rsid w:val="00076C3F"/>
    <w:rsid w:val="000949E2"/>
    <w:rsid w:val="000B5D7B"/>
    <w:rsid w:val="000D379D"/>
    <w:rsid w:val="000E187D"/>
    <w:rsid w:val="000E3DE8"/>
    <w:rsid w:val="001309B5"/>
    <w:rsid w:val="00175BF8"/>
    <w:rsid w:val="00221FEC"/>
    <w:rsid w:val="00242085"/>
    <w:rsid w:val="0028374C"/>
    <w:rsid w:val="00315EE4"/>
    <w:rsid w:val="0031657B"/>
    <w:rsid w:val="003358E0"/>
    <w:rsid w:val="00345EF6"/>
    <w:rsid w:val="003855C7"/>
    <w:rsid w:val="003A5263"/>
    <w:rsid w:val="004A3628"/>
    <w:rsid w:val="004A5C16"/>
    <w:rsid w:val="005348CA"/>
    <w:rsid w:val="005553B1"/>
    <w:rsid w:val="005A2121"/>
    <w:rsid w:val="005A7B30"/>
    <w:rsid w:val="005E7C63"/>
    <w:rsid w:val="005F264E"/>
    <w:rsid w:val="00677026"/>
    <w:rsid w:val="00687F1B"/>
    <w:rsid w:val="006C3099"/>
    <w:rsid w:val="006E14ED"/>
    <w:rsid w:val="006E395C"/>
    <w:rsid w:val="006E61D9"/>
    <w:rsid w:val="00710A27"/>
    <w:rsid w:val="00751D93"/>
    <w:rsid w:val="007A2843"/>
    <w:rsid w:val="00877E7B"/>
    <w:rsid w:val="008C4221"/>
    <w:rsid w:val="008F2F59"/>
    <w:rsid w:val="00911658"/>
    <w:rsid w:val="009529B0"/>
    <w:rsid w:val="00957E24"/>
    <w:rsid w:val="009D0066"/>
    <w:rsid w:val="009F7FF0"/>
    <w:rsid w:val="00A410D2"/>
    <w:rsid w:val="00AD3B76"/>
    <w:rsid w:val="00C2342A"/>
    <w:rsid w:val="00C256DD"/>
    <w:rsid w:val="00C26824"/>
    <w:rsid w:val="00C3743C"/>
    <w:rsid w:val="00C60C94"/>
    <w:rsid w:val="00C959A4"/>
    <w:rsid w:val="00D16B4B"/>
    <w:rsid w:val="00D439CB"/>
    <w:rsid w:val="00D819B5"/>
    <w:rsid w:val="00DB4CBF"/>
    <w:rsid w:val="00E260B4"/>
    <w:rsid w:val="00EC070D"/>
    <w:rsid w:val="00EC73EA"/>
    <w:rsid w:val="00F32A74"/>
    <w:rsid w:val="00F664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F0D7"/>
  <w15:chartTrackingRefBased/>
  <w15:docId w15:val="{37992943-9CDD-4311-95A4-EC99DE4C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D00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D00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D00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D00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D00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D00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00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00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00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00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D00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D00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D00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D00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D00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00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00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0066"/>
    <w:rPr>
      <w:rFonts w:eastAsiaTheme="majorEastAsia" w:cstheme="majorBidi"/>
      <w:color w:val="272727" w:themeColor="text1" w:themeTint="D8"/>
    </w:rPr>
  </w:style>
  <w:style w:type="paragraph" w:styleId="Ttulo">
    <w:name w:val="Title"/>
    <w:basedOn w:val="Normal"/>
    <w:next w:val="Normal"/>
    <w:link w:val="TtuloCar"/>
    <w:uiPriority w:val="10"/>
    <w:qFormat/>
    <w:rsid w:val="009D00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00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006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00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0066"/>
    <w:pPr>
      <w:spacing w:before="160"/>
      <w:jc w:val="center"/>
    </w:pPr>
    <w:rPr>
      <w:i/>
      <w:iCs/>
      <w:color w:val="404040" w:themeColor="text1" w:themeTint="BF"/>
    </w:rPr>
  </w:style>
  <w:style w:type="character" w:customStyle="1" w:styleId="CitaCar">
    <w:name w:val="Cita Car"/>
    <w:basedOn w:val="Fuentedeprrafopredeter"/>
    <w:link w:val="Cita"/>
    <w:uiPriority w:val="29"/>
    <w:rsid w:val="009D0066"/>
    <w:rPr>
      <w:i/>
      <w:iCs/>
      <w:color w:val="404040" w:themeColor="text1" w:themeTint="BF"/>
    </w:rPr>
  </w:style>
  <w:style w:type="paragraph" w:styleId="Prrafodelista">
    <w:name w:val="List Paragraph"/>
    <w:basedOn w:val="Normal"/>
    <w:uiPriority w:val="34"/>
    <w:qFormat/>
    <w:rsid w:val="009D0066"/>
    <w:pPr>
      <w:ind w:left="720"/>
      <w:contextualSpacing/>
    </w:pPr>
  </w:style>
  <w:style w:type="character" w:styleId="nfasisintenso">
    <w:name w:val="Intense Emphasis"/>
    <w:basedOn w:val="Fuentedeprrafopredeter"/>
    <w:uiPriority w:val="21"/>
    <w:qFormat/>
    <w:rsid w:val="009D0066"/>
    <w:rPr>
      <w:i/>
      <w:iCs/>
      <w:color w:val="0F4761" w:themeColor="accent1" w:themeShade="BF"/>
    </w:rPr>
  </w:style>
  <w:style w:type="paragraph" w:styleId="Citadestacada">
    <w:name w:val="Intense Quote"/>
    <w:basedOn w:val="Normal"/>
    <w:next w:val="Normal"/>
    <w:link w:val="CitadestacadaCar"/>
    <w:uiPriority w:val="30"/>
    <w:qFormat/>
    <w:rsid w:val="009D00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D0066"/>
    <w:rPr>
      <w:i/>
      <w:iCs/>
      <w:color w:val="0F4761" w:themeColor="accent1" w:themeShade="BF"/>
    </w:rPr>
  </w:style>
  <w:style w:type="character" w:styleId="Referenciaintensa">
    <w:name w:val="Intense Reference"/>
    <w:basedOn w:val="Fuentedeprrafopredeter"/>
    <w:uiPriority w:val="32"/>
    <w:qFormat/>
    <w:rsid w:val="009D00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26</Pages>
  <Words>7916</Words>
  <Characters>43544</Characters>
  <Application>Microsoft Office Word</Application>
  <DocSecurity>0</DocSecurity>
  <Lines>362</Lines>
  <Paragraphs>102</Paragraphs>
  <ScaleCrop>false</ScaleCrop>
  <Company/>
  <LinksUpToDate>false</LinksUpToDate>
  <CharactersWithSpaces>51358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Forero</dc:creator>
  <cp:keywords/>
  <dc:description/>
  <cp:lastModifiedBy>Carlos Forero</cp:lastModifiedBy>
  <cp:revision>65</cp:revision>
  <dcterms:created xsi:type="dcterms:W3CDTF">2026-07-21T18:55:00Z</dcterms:created>
  <dcterms:modified xsi:type="dcterms:W3CDTF">2026-07-22T14:11:00Z</dcterms:modified>
</cp:coreProperties>
</file>