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22678" w14:textId="77777777" w:rsidR="002776BD" w:rsidRPr="006674D0" w:rsidRDefault="002776BD"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Análisis crítico constructivo de las estrategias, programas, proyectos y acciones de la CEPAL (2021–2026) en educación, educación superior, ciencia, tecnología e innovación para América Latina y el Caribe</w:t>
      </w:r>
    </w:p>
    <w:p w14:paraId="11B1F483" w14:textId="77777777" w:rsidR="002776BD" w:rsidRPr="006674D0" w:rsidRDefault="002776BD"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Resumen ejecutivo</w:t>
      </w:r>
    </w:p>
    <w:p w14:paraId="72FE0B1F"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Durante el período 2021–2026, la Comisión Económica para América Latina y el Caribe (CEPAL) consolidó una visión renovada del desarrollo regional basada en la transformación productiva, la sostenibilidad ambiental, la inclusión social y la aceleración del cambio tecnológico. En este marco, la educación, la educación superior, la ciencia, la tecnología y la innovación (CTI) dejaron de concebirse como sectores aislados para convertirse en componentes estratégicos de un nuevo modelo de desarrollo orientado a reducir las históricas brechas de productividad, desigualdad y capacidades tecnológicas que caracterizan a América Latina y el Caribe.</w:t>
      </w:r>
    </w:p>
    <w:p w14:paraId="16FD93AF"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pandemia de COVID-19 evidenció profundas vulnerabilidades estructurales en los sistemas educativos de la región. La interrupción prolongada de las actividades presenciales incrementó las desigualdades en el acceso al aprendizaje, profundizó la brecha digital y afectó especialmente a las poblaciones más vulnerables. Paralelamente, el acelerado avance de tecnologías como la inteligencia artificial, la automatización, el análisis masivo de datos y la computación en la nube planteó nuevos desafíos para los sistemas educativos y científicos de la región.</w:t>
      </w:r>
    </w:p>
    <w:p w14:paraId="191757F3"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Frente a este contexto, la CEPAL impulsó una agenda centrada en cinco grandes ejes:</w:t>
      </w:r>
    </w:p>
    <w:p w14:paraId="2F95C1AC" w14:textId="77777777" w:rsidR="002776BD" w:rsidRPr="006674D0" w:rsidRDefault="002776BD" w:rsidP="006674D0">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la recuperación de los aprendizajes y el fortalecimiento de los sistemas educativos; </w:t>
      </w:r>
    </w:p>
    <w:p w14:paraId="1F33A666" w14:textId="77777777" w:rsidR="002776BD" w:rsidRPr="006674D0" w:rsidRDefault="002776BD" w:rsidP="006674D0">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la transformación digital inclusiva; </w:t>
      </w:r>
    </w:p>
    <w:p w14:paraId="1B835267" w14:textId="77777777" w:rsidR="002776BD" w:rsidRPr="006674D0" w:rsidRDefault="002776BD" w:rsidP="006674D0">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el fortalecimiento de los ecosistemas nacionales y regionales de innovación; </w:t>
      </w:r>
    </w:p>
    <w:p w14:paraId="17FCE780" w14:textId="77777777" w:rsidR="002776BD" w:rsidRPr="006674D0" w:rsidRDefault="002776BD" w:rsidP="006674D0">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el desarrollo de capacidades científicas y tecnológicas; </w:t>
      </w:r>
    </w:p>
    <w:p w14:paraId="5C49E82C" w14:textId="77777777" w:rsidR="002776BD" w:rsidRPr="006674D0" w:rsidRDefault="002776BD" w:rsidP="006674D0">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la articulación entre universidades, gobiernos, empresas y sociedad. </w:t>
      </w:r>
    </w:p>
    <w:p w14:paraId="1A5CD58D"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Uno de los aportes más relevantes de la CEPAL durante este período consistió en insistir en que la educación y la ciencia no representan únicamente una política social, sino una política económica indispensable para incrementar la productividad, diversificar la estructura productiva y avanzar hacia un crecimiento sostenible e inclusivo.</w:t>
      </w:r>
    </w:p>
    <w:p w14:paraId="76793578"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En educación superior, la CEPAL promovió la consolidación de universidades más comprometidas con la innovación, el desarrollo territorial, la investigación aplicada y la transferencia tecnológica, destacando la necesidad de fortalecer la cooperación regional y la internacionalización del conocimiento.</w:t>
      </w:r>
    </w:p>
    <w:p w14:paraId="23054617"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En materia de ciencia, tecnología e innovación, la Comisión insistió en que América Latina invierte significativamente menos en investigación y desarrollo que las economías más avanzadas, situación que limita la generación de conocimiento, la competitividad internacional y la capacidad para aprovechar plenamente la transición digital y la economía del conocimiento.</w:t>
      </w:r>
    </w:p>
    <w:p w14:paraId="1C5E9FD2"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lastRenderedPageBreak/>
        <w:t>No obstante, el análisis evidencia que la CEPAL enfrenta importantes limitaciones derivadas de la naturaleza de su mandato. Como organismo de pensamiento estratégico y cooperación técnica, su capacidad para incidir directamente en la implementación de políticas públicas depende de la voluntad política y de las capacidades institucionales de los Estados miembros. En consecuencia, muchas de sus recomendaciones han tenido una adopción desigual en la región.</w:t>
      </w:r>
    </w:p>
    <w:p w14:paraId="75260F5B"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Este documento presenta un análisis crítico y constructivo de las principales estrategias, programas, proyectos y acciones desarrollados por la CEPAL entre 2021 y 2026, identificando logros, limitaciones y oportunidades para fortalecer el papel de la educación, la educación superior y la CTI como motores del desarrollo sostenible en América Latina y el Caribe.</w:t>
      </w:r>
    </w:p>
    <w:p w14:paraId="2BC5A748" w14:textId="77777777" w:rsidR="002776BD" w:rsidRPr="006674D0" w:rsidRDefault="002776BD"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1. Introducción</w:t>
      </w:r>
    </w:p>
    <w:p w14:paraId="58AF2D80"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Desde su creación en 1948, la Comisión Económica para América Latina y el Caribe (CEPAL) ha desempeñado un papel fundamental en la formulación de ideas, políticas y estrategias orientadas al desarrollo económico y social de la región. Su reconocido enfoque estructuralista ha evolucionado hacia una visión integral del desarrollo sostenible, en la que convergen dimensiones económicas, sociales, ambientales, institucionales y tecnológicas.</w:t>
      </w:r>
    </w:p>
    <w:p w14:paraId="5371781E"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Durante los últimos cinco años, la región enfrentó un escenario particularmente complejo. A los efectos persistentes de la pandemia se sumaron un bajo crecimiento económico, elevados niveles de endeudamiento, inflación, conflictos geopolíticos, disrupciones en las cadenas globales de suministro y una acelerada revolución tecnológica impulsada por la digitalización y la inteligencia artificial.</w:t>
      </w:r>
    </w:p>
    <w:p w14:paraId="4319F0F6"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En este contexto, la CEPAL propuso una nueva agenda de desarrollo basada en la transformación productiva con igualdad y sostenibilidad, donde la educación, la investigación científica y la innovación ocupan un lugar central.</w:t>
      </w:r>
    </w:p>
    <w:p w14:paraId="553DF3F1"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Comisión ha sostenido que los países de América Latina y el Caribe no podrán superar su histórica condición de economías de baja productividad mientras mantengan reducidos niveles de inversión en ciencia y tecnología, sistemas educativos con importantes brechas de calidad y limitada articulación entre universidades, empresas y gobiernos.</w:t>
      </w:r>
    </w:p>
    <w:p w14:paraId="44C457F1"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Esta visión representa una evolución significativa respecto a enfoques tradicionales que concebían la educación principalmente como un derecho social. Sin abandonar esta perspectiva, la CEPAL incorpora un enfoque que reconoce el conocimiento como el principal factor de competitividad y crecimiento económico en el siglo XXI.</w:t>
      </w:r>
    </w:p>
    <w:p w14:paraId="3B6E87E7"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Así, la educación deja de ser únicamente un instrumento de movilidad social para convertirse también en una política estratégica de desarrollo productivo.</w:t>
      </w:r>
    </w:p>
    <w:p w14:paraId="7FD368B1" w14:textId="77777777" w:rsidR="002776BD" w:rsidRPr="006674D0" w:rsidRDefault="002776BD"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2. Objetivos del análisis</w:t>
      </w:r>
    </w:p>
    <w:p w14:paraId="6C645B2A" w14:textId="77777777" w:rsidR="002776BD" w:rsidRPr="006674D0" w:rsidRDefault="002776BD"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Objetivo general</w:t>
      </w:r>
    </w:p>
    <w:p w14:paraId="610A46AD"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lastRenderedPageBreak/>
        <w:t>Analizar críticamente las estrategias, programas, proyectos y acciones desarrollados por la CEPAL entre 2021 y 2026 en materia de educación, educación superior, ciencia, tecnología e innovación, identificando sus principales aportes, limitaciones y oportunidades de fortalecimiento para América Latina y el Caribe.</w:t>
      </w:r>
    </w:p>
    <w:p w14:paraId="624654C1" w14:textId="77777777" w:rsidR="002776BD" w:rsidRPr="006674D0" w:rsidRDefault="002776BD"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Objetivos específicos</w:t>
      </w:r>
    </w:p>
    <w:p w14:paraId="3F2E5E42" w14:textId="77777777" w:rsidR="002776BD" w:rsidRPr="006674D0" w:rsidRDefault="002776BD" w:rsidP="006674D0">
      <w:pPr>
        <w:numPr>
          <w:ilvl w:val="0"/>
          <w:numId w:val="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Examinar la evolución reciente de la estrategia de la CEPAL en educación y conocimiento. </w:t>
      </w:r>
    </w:p>
    <w:p w14:paraId="70E2E443" w14:textId="77777777" w:rsidR="002776BD" w:rsidRPr="006674D0" w:rsidRDefault="002776BD" w:rsidP="006674D0">
      <w:pPr>
        <w:numPr>
          <w:ilvl w:val="0"/>
          <w:numId w:val="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Analizar las principales iniciativas relacionadas con educación superior y CTI. </w:t>
      </w:r>
    </w:p>
    <w:p w14:paraId="4B5BD9D2" w14:textId="77777777" w:rsidR="002776BD" w:rsidRPr="006674D0" w:rsidRDefault="002776BD" w:rsidP="006674D0">
      <w:pPr>
        <w:numPr>
          <w:ilvl w:val="0"/>
          <w:numId w:val="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Identificar los avances alcanzados durante el período. </w:t>
      </w:r>
    </w:p>
    <w:p w14:paraId="1DC03451" w14:textId="77777777" w:rsidR="002776BD" w:rsidRPr="006674D0" w:rsidRDefault="002776BD" w:rsidP="006674D0">
      <w:pPr>
        <w:numPr>
          <w:ilvl w:val="0"/>
          <w:numId w:val="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Evaluar los desafíos pendientes. </w:t>
      </w:r>
    </w:p>
    <w:p w14:paraId="71A3D7E5" w14:textId="77777777" w:rsidR="002776BD" w:rsidRPr="006674D0" w:rsidRDefault="002776BD" w:rsidP="006674D0">
      <w:pPr>
        <w:numPr>
          <w:ilvl w:val="0"/>
          <w:numId w:val="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Formular recomendaciones orientadas al fortalecimiento de las políticas regionales. </w:t>
      </w:r>
    </w:p>
    <w:p w14:paraId="1A29EB02" w14:textId="77777777" w:rsidR="002776BD" w:rsidRPr="006674D0" w:rsidRDefault="002776BD"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3. Metodología</w:t>
      </w:r>
    </w:p>
    <w:p w14:paraId="55297874"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El presente documento corresponde a un análisis cualitativo basado en la revisión documental de publicaciones institucionales de la CEPAL entre 2021 y 2026, complementadas con informes de organismos internacionales especializados y literatura académica reciente.</w:t>
      </w:r>
    </w:p>
    <w:p w14:paraId="32FED3FB"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El análisis considera:</w:t>
      </w:r>
    </w:p>
    <w:p w14:paraId="751715DA" w14:textId="77777777" w:rsidR="002776BD" w:rsidRPr="006674D0" w:rsidRDefault="002776BD" w:rsidP="006674D0">
      <w:pPr>
        <w:numPr>
          <w:ilvl w:val="0"/>
          <w:numId w:val="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documentos estratégicos de la CEPAL; </w:t>
      </w:r>
    </w:p>
    <w:p w14:paraId="11AE4BF4" w14:textId="77777777" w:rsidR="002776BD" w:rsidRPr="006674D0" w:rsidRDefault="002776BD" w:rsidP="006674D0">
      <w:pPr>
        <w:numPr>
          <w:ilvl w:val="0"/>
          <w:numId w:val="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informes sobre desarrollo productivo; </w:t>
      </w:r>
    </w:p>
    <w:p w14:paraId="66A47793" w14:textId="77777777" w:rsidR="002776BD" w:rsidRPr="006674D0" w:rsidRDefault="002776BD" w:rsidP="006674D0">
      <w:pPr>
        <w:numPr>
          <w:ilvl w:val="0"/>
          <w:numId w:val="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Agenda Digital para América Latina y el Caribe (</w:t>
      </w:r>
      <w:proofErr w:type="spellStart"/>
      <w:r w:rsidRPr="006674D0">
        <w:rPr>
          <w:rFonts w:eastAsia="Times New Roman" w:cs="Times New Roman"/>
          <w:kern w:val="0"/>
          <w:lang w:eastAsia="es-CO"/>
          <w14:ligatures w14:val="none"/>
        </w:rPr>
        <w:t>eLAC</w:t>
      </w:r>
      <w:proofErr w:type="spellEnd"/>
      <w:r w:rsidRPr="006674D0">
        <w:rPr>
          <w:rFonts w:eastAsia="Times New Roman" w:cs="Times New Roman"/>
          <w:kern w:val="0"/>
          <w:lang w:eastAsia="es-CO"/>
          <w14:ligatures w14:val="none"/>
        </w:rPr>
        <w:t xml:space="preserve">); </w:t>
      </w:r>
    </w:p>
    <w:p w14:paraId="4E8C3B7C" w14:textId="77777777" w:rsidR="002776BD" w:rsidRPr="006674D0" w:rsidRDefault="002776BD" w:rsidP="006674D0">
      <w:pPr>
        <w:numPr>
          <w:ilvl w:val="0"/>
          <w:numId w:val="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estudios sobre educación y transformación digital; </w:t>
      </w:r>
    </w:p>
    <w:p w14:paraId="74D2F243" w14:textId="77777777" w:rsidR="002776BD" w:rsidRPr="006674D0" w:rsidRDefault="002776BD" w:rsidP="006674D0">
      <w:pPr>
        <w:numPr>
          <w:ilvl w:val="0"/>
          <w:numId w:val="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publicaciones sobre ciencia, tecnología e innovación; </w:t>
      </w:r>
    </w:p>
    <w:p w14:paraId="5BA4FBF5" w14:textId="77777777" w:rsidR="002776BD" w:rsidRPr="006674D0" w:rsidRDefault="002776BD" w:rsidP="006674D0">
      <w:pPr>
        <w:numPr>
          <w:ilvl w:val="0"/>
          <w:numId w:val="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informes sobre productividad y desarrollo sostenible. </w:t>
      </w:r>
    </w:p>
    <w:p w14:paraId="6362DD83"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 partir de esta revisión se identifican tendencias, prioridades estratégicas, avances, limitaciones y oportunidades para fortalecer la contribución de la CEPAL al desarrollo regional.</w:t>
      </w:r>
    </w:p>
    <w:p w14:paraId="3513722C" w14:textId="77777777" w:rsidR="002776BD" w:rsidRPr="006674D0" w:rsidRDefault="002776BD"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4. Contexto regional (2021–2026)</w:t>
      </w:r>
    </w:p>
    <w:p w14:paraId="460FCB1D" w14:textId="77777777" w:rsidR="002776BD" w:rsidRPr="006674D0" w:rsidRDefault="002776BD"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4.1 Una región que enfrenta múltiples trampas del desarrollo</w:t>
      </w:r>
    </w:p>
    <w:p w14:paraId="66EFFC29"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Durante este período, la CEPAL consolidó la idea de que América Latina y el Caribe enfrenta simultáneamente varias "trampas del desarrollo", entre las que destacan:</w:t>
      </w:r>
    </w:p>
    <w:p w14:paraId="1FA9AEED" w14:textId="77777777" w:rsidR="002776BD" w:rsidRPr="006674D0" w:rsidRDefault="002776BD" w:rsidP="006674D0">
      <w:pPr>
        <w:numPr>
          <w:ilvl w:val="0"/>
          <w:numId w:val="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bajo crecimiento económico; </w:t>
      </w:r>
    </w:p>
    <w:p w14:paraId="4BA88181" w14:textId="77777777" w:rsidR="002776BD" w:rsidRPr="006674D0" w:rsidRDefault="002776BD" w:rsidP="006674D0">
      <w:pPr>
        <w:numPr>
          <w:ilvl w:val="0"/>
          <w:numId w:val="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reducida productividad; </w:t>
      </w:r>
    </w:p>
    <w:p w14:paraId="1A7D0FAD" w14:textId="77777777" w:rsidR="002776BD" w:rsidRPr="006674D0" w:rsidRDefault="002776BD" w:rsidP="006674D0">
      <w:pPr>
        <w:numPr>
          <w:ilvl w:val="0"/>
          <w:numId w:val="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elevada desigualdad; </w:t>
      </w:r>
    </w:p>
    <w:p w14:paraId="4ACF2335" w14:textId="77777777" w:rsidR="002776BD" w:rsidRPr="006674D0" w:rsidRDefault="002776BD" w:rsidP="006674D0">
      <w:pPr>
        <w:numPr>
          <w:ilvl w:val="0"/>
          <w:numId w:val="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limitada movilidad social; </w:t>
      </w:r>
    </w:p>
    <w:p w14:paraId="07868D69" w14:textId="77777777" w:rsidR="002776BD" w:rsidRPr="006674D0" w:rsidRDefault="002776BD" w:rsidP="006674D0">
      <w:pPr>
        <w:numPr>
          <w:ilvl w:val="0"/>
          <w:numId w:val="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debilidad institucional; </w:t>
      </w:r>
    </w:p>
    <w:p w14:paraId="4FEBB0DD" w14:textId="77777777" w:rsidR="002776BD" w:rsidRPr="006674D0" w:rsidRDefault="002776BD" w:rsidP="006674D0">
      <w:pPr>
        <w:numPr>
          <w:ilvl w:val="0"/>
          <w:numId w:val="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insuficiente capacidad tecnológica; </w:t>
      </w:r>
    </w:p>
    <w:p w14:paraId="1FECDF36" w14:textId="77777777" w:rsidR="002776BD" w:rsidRPr="006674D0" w:rsidRDefault="002776BD" w:rsidP="006674D0">
      <w:pPr>
        <w:numPr>
          <w:ilvl w:val="0"/>
          <w:numId w:val="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vulnerabilidad frente al cambio climático. </w:t>
      </w:r>
    </w:p>
    <w:p w14:paraId="5D3BD4AF"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lastRenderedPageBreak/>
        <w:t>Estas condiciones afectan directamente el desempeño de los sistemas educativos y científicos.</w:t>
      </w:r>
    </w:p>
    <w:p w14:paraId="5B5B3502"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productividad laboral regional continúa siendo significativamente inferior a la observada en las economías desarrolladas, mientras que la inversión en investigación y desarrollo permanece por debajo del 1 % del PIB en la mayoría de los países.</w:t>
      </w:r>
    </w:p>
    <w:p w14:paraId="550D7C18"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En consecuencia, la región mantiene una elevada dependencia de la importación de tecnologías y un reducido peso en la generación de patentes y conocimiento científico de frontera.</w:t>
      </w:r>
    </w:p>
    <w:p w14:paraId="245D40C4" w14:textId="77777777" w:rsidR="002776BD" w:rsidRPr="006674D0" w:rsidRDefault="002776BD"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4.2 La crisis educativa posterior a la pandemia</w:t>
      </w:r>
    </w:p>
    <w:p w14:paraId="288A60FE"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pandemia produjo una de las mayores interrupciones educativas de la historia reciente.</w:t>
      </w:r>
    </w:p>
    <w:p w14:paraId="5FB7C1AE"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Entre los principales impactos identificados por la CEPAL destacan:</w:t>
      </w:r>
    </w:p>
    <w:p w14:paraId="278E2AC2" w14:textId="77777777" w:rsidR="002776BD" w:rsidRPr="006674D0" w:rsidRDefault="002776BD" w:rsidP="006674D0">
      <w:pPr>
        <w:numPr>
          <w:ilvl w:val="0"/>
          <w:numId w:val="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incremento de la deserción escolar; </w:t>
      </w:r>
    </w:p>
    <w:p w14:paraId="140B1DE9" w14:textId="77777777" w:rsidR="002776BD" w:rsidRPr="006674D0" w:rsidRDefault="002776BD" w:rsidP="006674D0">
      <w:pPr>
        <w:numPr>
          <w:ilvl w:val="0"/>
          <w:numId w:val="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pérdida significativa de aprendizajes; </w:t>
      </w:r>
    </w:p>
    <w:p w14:paraId="0987276C" w14:textId="77777777" w:rsidR="002776BD" w:rsidRPr="006674D0" w:rsidRDefault="002776BD" w:rsidP="006674D0">
      <w:pPr>
        <w:numPr>
          <w:ilvl w:val="0"/>
          <w:numId w:val="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ampliación de las brechas digitales; </w:t>
      </w:r>
    </w:p>
    <w:p w14:paraId="2100216B" w14:textId="77777777" w:rsidR="002776BD" w:rsidRPr="006674D0" w:rsidRDefault="002776BD" w:rsidP="006674D0">
      <w:pPr>
        <w:numPr>
          <w:ilvl w:val="0"/>
          <w:numId w:val="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deterioro del bienestar socioemocional; </w:t>
      </w:r>
    </w:p>
    <w:p w14:paraId="1D0ECEC7" w14:textId="77777777" w:rsidR="002776BD" w:rsidRPr="006674D0" w:rsidRDefault="002776BD" w:rsidP="006674D0">
      <w:pPr>
        <w:numPr>
          <w:ilvl w:val="0"/>
          <w:numId w:val="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afectación del desarrollo de competencias científicas y tecnológicas. </w:t>
      </w:r>
    </w:p>
    <w:p w14:paraId="5C1F7804"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Aunque la mayoría de los países logró reabrir plenamente las instituciones educativas, la recuperación de los aprendizajes continúa siendo un desafío prioritario.</w:t>
      </w:r>
    </w:p>
    <w:p w14:paraId="3E4C157C"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CEPAL ha insistido en que esta recuperación requiere reformas estructurales y no únicamente programas temporales de nivelación.</w:t>
      </w:r>
    </w:p>
    <w:p w14:paraId="5D3D0AE4" w14:textId="77777777" w:rsidR="002776BD" w:rsidRPr="006674D0" w:rsidRDefault="002776BD"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4.3 La aceleración de la transformación digital</w:t>
      </w:r>
    </w:p>
    <w:p w14:paraId="09D7A7A5"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Otro fenómeno determinante fue la aceleración de la digitalización.</w:t>
      </w:r>
    </w:p>
    <w:p w14:paraId="31471E1D"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inteligencia artificial, el análisis de datos, la automatización y las plataformas digitales modificaron profundamente:</w:t>
      </w:r>
    </w:p>
    <w:p w14:paraId="105B08B8" w14:textId="77777777" w:rsidR="002776BD" w:rsidRPr="006674D0" w:rsidRDefault="002776BD" w:rsidP="006674D0">
      <w:pPr>
        <w:numPr>
          <w:ilvl w:val="0"/>
          <w:numId w:val="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los mercados laborales; </w:t>
      </w:r>
    </w:p>
    <w:p w14:paraId="0F6A2794" w14:textId="77777777" w:rsidR="002776BD" w:rsidRPr="006674D0" w:rsidRDefault="002776BD" w:rsidP="006674D0">
      <w:pPr>
        <w:numPr>
          <w:ilvl w:val="0"/>
          <w:numId w:val="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las competencias requeridas por las empresas; </w:t>
      </w:r>
    </w:p>
    <w:p w14:paraId="767D1D19" w14:textId="77777777" w:rsidR="002776BD" w:rsidRPr="006674D0" w:rsidRDefault="002776BD" w:rsidP="006674D0">
      <w:pPr>
        <w:numPr>
          <w:ilvl w:val="0"/>
          <w:numId w:val="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las formas de enseñar y aprender; </w:t>
      </w:r>
    </w:p>
    <w:p w14:paraId="38D23B19" w14:textId="77777777" w:rsidR="002776BD" w:rsidRPr="006674D0" w:rsidRDefault="002776BD" w:rsidP="006674D0">
      <w:pPr>
        <w:numPr>
          <w:ilvl w:val="0"/>
          <w:numId w:val="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los procesos de investigación científica; </w:t>
      </w:r>
    </w:p>
    <w:p w14:paraId="74320106" w14:textId="77777777" w:rsidR="002776BD" w:rsidRPr="006674D0" w:rsidRDefault="002776BD" w:rsidP="006674D0">
      <w:pPr>
        <w:numPr>
          <w:ilvl w:val="0"/>
          <w:numId w:val="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la innovación empresarial. </w:t>
      </w:r>
    </w:p>
    <w:p w14:paraId="3D5E464E"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Frente a este escenario, la CEPAL ha promovido una transformación digital inclusiva que permita reducir las brechas tecnológicas entre países, regiones y grupos sociales.</w:t>
      </w:r>
    </w:p>
    <w:p w14:paraId="1974B04D" w14:textId="77777777" w:rsidR="002776BD" w:rsidRPr="006674D0" w:rsidRDefault="002776BD"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4.4 Educación, ciencia e innovación como motores del desarrollo</w:t>
      </w:r>
    </w:p>
    <w:p w14:paraId="2C9C2834"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lastRenderedPageBreak/>
        <w:t>Uno de los principales aportes conceptuales recientes de la CEPAL consiste en integrar educación, innovación y desarrollo productivo dentro de un mismo marco analítico.</w:t>
      </w:r>
    </w:p>
    <w:p w14:paraId="7DBF2F80"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Desde esta perspectiva:</w:t>
      </w:r>
    </w:p>
    <w:p w14:paraId="2A8E2ED2" w14:textId="77777777" w:rsidR="002776BD" w:rsidRPr="006674D0" w:rsidRDefault="002776BD" w:rsidP="006674D0">
      <w:pPr>
        <w:numPr>
          <w:ilvl w:val="0"/>
          <w:numId w:val="7"/>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la educación genera capital humano; </w:t>
      </w:r>
    </w:p>
    <w:p w14:paraId="2BA708BB" w14:textId="77777777" w:rsidR="002776BD" w:rsidRPr="006674D0" w:rsidRDefault="002776BD" w:rsidP="006674D0">
      <w:pPr>
        <w:numPr>
          <w:ilvl w:val="0"/>
          <w:numId w:val="7"/>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la investigación científica produce conocimiento; </w:t>
      </w:r>
    </w:p>
    <w:p w14:paraId="4206AAA0" w14:textId="77777777" w:rsidR="002776BD" w:rsidRPr="006674D0" w:rsidRDefault="002776BD" w:rsidP="006674D0">
      <w:pPr>
        <w:numPr>
          <w:ilvl w:val="0"/>
          <w:numId w:val="7"/>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la innovación transforma ese conocimiento en productividad; </w:t>
      </w:r>
    </w:p>
    <w:p w14:paraId="14CC9AEA" w14:textId="77777777" w:rsidR="002776BD" w:rsidRPr="006674D0" w:rsidRDefault="002776BD" w:rsidP="006674D0">
      <w:pPr>
        <w:numPr>
          <w:ilvl w:val="0"/>
          <w:numId w:val="7"/>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la productividad impulsa el crecimiento económico; </w:t>
      </w:r>
    </w:p>
    <w:p w14:paraId="085FADDF" w14:textId="77777777" w:rsidR="002776BD" w:rsidRPr="006674D0" w:rsidRDefault="002776BD" w:rsidP="006674D0">
      <w:pPr>
        <w:numPr>
          <w:ilvl w:val="0"/>
          <w:numId w:val="7"/>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el crecimiento sostenible fortalece la inclusión social. </w:t>
      </w:r>
    </w:p>
    <w:p w14:paraId="599DF397" w14:textId="34480B23"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Este enfoque supera la visión sectorial tradicional y propone una gobernanza articulada entre ministerios de educación, ciencia, industria, economía y planificación, con la </w:t>
      </w:r>
      <w:r w:rsidR="009F4990" w:rsidRPr="006674D0">
        <w:rPr>
          <w:rFonts w:eastAsia="Times New Roman" w:cs="Times New Roman"/>
          <w:kern w:val="0"/>
          <w:lang w:eastAsia="es-CO"/>
          <w14:ligatures w14:val="none"/>
        </w:rPr>
        <w:t>participación</w:t>
      </w:r>
      <w:r w:rsidRPr="006674D0">
        <w:rPr>
          <w:rFonts w:eastAsia="Times New Roman" w:cs="Times New Roman"/>
          <w:kern w:val="0"/>
          <w:lang w:eastAsia="es-CO"/>
          <w14:ligatures w14:val="none"/>
        </w:rPr>
        <w:t xml:space="preserve"> de universidades, centros de investigación, empresas y gobiernos territoriales.</w:t>
      </w:r>
    </w:p>
    <w:p w14:paraId="0388A4B5" w14:textId="77777777" w:rsidR="002776BD" w:rsidRPr="006674D0" w:rsidRDefault="002776BD"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Comentario crítico preliminar</w:t>
      </w:r>
    </w:p>
    <w:p w14:paraId="2C236E80"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Como primera aproximación, puede afirmarse que la CEPAL ha logrado actualizar su marco conceptual para responder a los desafíos del siglo XXI, situando la educación, la ciencia, la tecnología y la innovación en el centro de la agenda del desarrollo sostenible. Su enfoque es coherente con las tendencias internacionales y ofrece una visión integral que vincula conocimiento, productividad e inclusión.</w:t>
      </w:r>
    </w:p>
    <w:p w14:paraId="6652E78F" w14:textId="77777777" w:rsidR="002776BD" w:rsidRPr="006674D0" w:rsidRDefault="002776BD"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Sin embargo, persiste una brecha importante entre la solidez de sus propuestas y su implementación efectiva en los países de la región. La heterogeneidad institucional, las restricciones fiscales y las diferencias en capacidades nacionales han limitado la adopción homogénea de muchas de las recomendaciones formuladas. Este contraste entre una agenda estratégica robusta y una ejecución desigual constituye uno de los principales desafíos que se analizarán en las siguientes entregas.</w:t>
      </w:r>
    </w:p>
    <w:p w14:paraId="7B9AEDA2" w14:textId="77777777" w:rsidR="00DC63F3" w:rsidRPr="006674D0" w:rsidRDefault="00DC63F3"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5. Estrategias de la CEPAL para fortalecer la educación, la educación superior, la ciencia, la tecnología y la innovación</w:t>
      </w:r>
    </w:p>
    <w:p w14:paraId="019B5532"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Durante el período 2021–2026, la CEPAL fortaleció una estrategia regional orientada a transformar el modelo de desarrollo de América Latina y el Caribe mediante la incorporación intensiva del conocimiento, la innovación y la sostenibilidad. A diferencia de otras etapas en las que la educación era considerada principalmente un componente de la política social, la Comisión promovió un enfoque sistémico en el que la formación de capital humano, la generación de conocimiento científico y la innovación tecnológica se entienden como factores determinantes para elevar la productividad, reducir las desigualdades y aumentar la resiliencia de las economías.</w:t>
      </w:r>
    </w:p>
    <w:p w14:paraId="3F1FFDA9"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Este cambio de enfoque constituye uno de los principales aportes conceptuales de la CEPAL en los últimos años.</w:t>
      </w:r>
    </w:p>
    <w:p w14:paraId="131E7DB9" w14:textId="77777777" w:rsidR="00DC63F3" w:rsidRPr="006674D0" w:rsidRDefault="00DC63F3"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5.1 La transformación productiva como eje articulador</w:t>
      </w:r>
    </w:p>
    <w:p w14:paraId="13C9CC3F"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lastRenderedPageBreak/>
        <w:t xml:space="preserve">La CEPAL sostiene que América Latina enfrenta una estructura productiva altamente heterogénea, caracterizada por una baja incorporación de conocimiento, escasa sofisticación tecnológica y limitada diversificación económica. En respuesta, propone una estrategia de </w:t>
      </w:r>
      <w:r w:rsidRPr="006674D0">
        <w:rPr>
          <w:rFonts w:eastAsia="Times New Roman" w:cs="Times New Roman"/>
          <w:b/>
          <w:bCs/>
          <w:kern w:val="0"/>
          <w:lang w:eastAsia="es-CO"/>
          <w14:ligatures w14:val="none"/>
        </w:rPr>
        <w:t>transformación productiva para el desarrollo sostenible</w:t>
      </w:r>
      <w:r w:rsidRPr="006674D0">
        <w:rPr>
          <w:rFonts w:eastAsia="Times New Roman" w:cs="Times New Roman"/>
          <w:kern w:val="0"/>
          <w:lang w:eastAsia="es-CO"/>
          <w14:ligatures w14:val="none"/>
        </w:rPr>
        <w:t>, en la que la educación, la ciencia y la innovación son pilares fundamentales.</w:t>
      </w:r>
    </w:p>
    <w:p w14:paraId="3FAD3C8B"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Los principales componentes de esta estrategia son:</w:t>
      </w:r>
    </w:p>
    <w:p w14:paraId="73F8680D" w14:textId="77777777" w:rsidR="00DC63F3" w:rsidRPr="006674D0" w:rsidRDefault="00DC63F3" w:rsidP="006674D0">
      <w:pPr>
        <w:numPr>
          <w:ilvl w:val="0"/>
          <w:numId w:val="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fortalecimiento del capital humano mediante una educación de calidad; </w:t>
      </w:r>
    </w:p>
    <w:p w14:paraId="1BBCA679" w14:textId="77777777" w:rsidR="00DC63F3" w:rsidRPr="006674D0" w:rsidRDefault="00DC63F3" w:rsidP="006674D0">
      <w:pPr>
        <w:numPr>
          <w:ilvl w:val="0"/>
          <w:numId w:val="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incremento de la inversión en investigación y desarrollo (I+D); </w:t>
      </w:r>
    </w:p>
    <w:p w14:paraId="2F4B2B3A" w14:textId="77777777" w:rsidR="00DC63F3" w:rsidRPr="006674D0" w:rsidRDefault="00DC63F3" w:rsidP="006674D0">
      <w:pPr>
        <w:numPr>
          <w:ilvl w:val="0"/>
          <w:numId w:val="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modernización tecnológica del aparato productivo; </w:t>
      </w:r>
    </w:p>
    <w:p w14:paraId="71C61D8B" w14:textId="77777777" w:rsidR="00DC63F3" w:rsidRPr="006674D0" w:rsidRDefault="00DC63F3" w:rsidP="006674D0">
      <w:pPr>
        <w:numPr>
          <w:ilvl w:val="0"/>
          <w:numId w:val="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impulso a la innovación empresarial; </w:t>
      </w:r>
    </w:p>
    <w:p w14:paraId="586856A7" w14:textId="77777777" w:rsidR="00DC63F3" w:rsidRPr="006674D0" w:rsidRDefault="00DC63F3" w:rsidP="006674D0">
      <w:pPr>
        <w:numPr>
          <w:ilvl w:val="0"/>
          <w:numId w:val="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fortalecimiento de los sistemas nacionales de innovación; </w:t>
      </w:r>
    </w:p>
    <w:p w14:paraId="35D139EF" w14:textId="77777777" w:rsidR="00DC63F3" w:rsidRPr="006674D0" w:rsidRDefault="00DC63F3" w:rsidP="006674D0">
      <w:pPr>
        <w:numPr>
          <w:ilvl w:val="0"/>
          <w:numId w:val="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promoción de sectores intensivos en conocimiento; </w:t>
      </w:r>
    </w:p>
    <w:p w14:paraId="36A84391" w14:textId="77777777" w:rsidR="00DC63F3" w:rsidRPr="006674D0" w:rsidRDefault="00DC63F3" w:rsidP="006674D0">
      <w:pPr>
        <w:numPr>
          <w:ilvl w:val="0"/>
          <w:numId w:val="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articulación entre políticas industriales, educativas y científicas. </w:t>
      </w:r>
    </w:p>
    <w:p w14:paraId="7034DEED"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Uno de los elementos más innovadores es la insistencia en que las políticas educativas no deben diseñarse de forma aislada, sino coordinadas con las estrategias de desarrollo económico y productivo.</w:t>
      </w:r>
    </w:p>
    <w:p w14:paraId="37590E5A" w14:textId="77777777" w:rsidR="00DC63F3" w:rsidRPr="006674D0" w:rsidRDefault="00DC63F3" w:rsidP="006674D0">
      <w:pPr>
        <w:spacing w:before="100" w:beforeAutospacing="1" w:after="100" w:afterAutospacing="1" w:line="240" w:lineRule="auto"/>
        <w:jc w:val="both"/>
        <w:outlineLvl w:val="2"/>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Análisis crítico</w:t>
      </w:r>
    </w:p>
    <w:p w14:paraId="6E886E08"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propuesta representa un avance importante frente a enfoques tradicionales. Sin embargo, la CEPAL podría desarrollar con mayor profundidad mecanismos concretos para apoyar a los países en la implementación de estas políticas, especialmente aquellos con menores capacidades institucionales y presupuestales.</w:t>
      </w:r>
    </w:p>
    <w:p w14:paraId="1BCA2F68" w14:textId="77777777" w:rsidR="00DC63F3" w:rsidRPr="006674D0" w:rsidRDefault="00DC63F3"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5.2 Educación como motor del desarrollo sostenible</w:t>
      </w:r>
    </w:p>
    <w:p w14:paraId="36896613"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CEPAL plantea que la educación constituye simultáneamente:</w:t>
      </w:r>
    </w:p>
    <w:p w14:paraId="501DC7B6" w14:textId="77777777" w:rsidR="00DC63F3" w:rsidRPr="006674D0" w:rsidRDefault="00DC63F3" w:rsidP="006674D0">
      <w:pPr>
        <w:numPr>
          <w:ilvl w:val="0"/>
          <w:numId w:val="9"/>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un derecho humano; </w:t>
      </w:r>
    </w:p>
    <w:p w14:paraId="21835EAC" w14:textId="77777777" w:rsidR="00DC63F3" w:rsidRPr="006674D0" w:rsidRDefault="00DC63F3" w:rsidP="006674D0">
      <w:pPr>
        <w:numPr>
          <w:ilvl w:val="0"/>
          <w:numId w:val="9"/>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una inversión social; </w:t>
      </w:r>
    </w:p>
    <w:p w14:paraId="47D39FE3" w14:textId="77777777" w:rsidR="00DC63F3" w:rsidRPr="006674D0" w:rsidRDefault="00DC63F3" w:rsidP="006674D0">
      <w:pPr>
        <w:numPr>
          <w:ilvl w:val="0"/>
          <w:numId w:val="9"/>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una política económica; </w:t>
      </w:r>
    </w:p>
    <w:p w14:paraId="1CA9922C" w14:textId="77777777" w:rsidR="00DC63F3" w:rsidRPr="006674D0" w:rsidRDefault="00DC63F3" w:rsidP="006674D0">
      <w:pPr>
        <w:numPr>
          <w:ilvl w:val="0"/>
          <w:numId w:val="9"/>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una herramienta de movilidad social; </w:t>
      </w:r>
    </w:p>
    <w:p w14:paraId="30595922" w14:textId="77777777" w:rsidR="00DC63F3" w:rsidRPr="006674D0" w:rsidRDefault="00DC63F3" w:rsidP="006674D0">
      <w:pPr>
        <w:numPr>
          <w:ilvl w:val="0"/>
          <w:numId w:val="9"/>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un factor de competitividad internacional. </w:t>
      </w:r>
    </w:p>
    <w:p w14:paraId="6EBD3B33"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Durante los últimos cinco años, sus recomendaciones se concentraron en:</w:t>
      </w:r>
    </w:p>
    <w:p w14:paraId="6C95092A" w14:textId="77777777" w:rsidR="00DC63F3" w:rsidRPr="006674D0" w:rsidRDefault="00DC63F3" w:rsidP="006674D0">
      <w:pPr>
        <w:numPr>
          <w:ilvl w:val="0"/>
          <w:numId w:val="1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recuperación de los aprendizajes perdidos tras la pandemia; </w:t>
      </w:r>
    </w:p>
    <w:p w14:paraId="2C8D70FE" w14:textId="77777777" w:rsidR="00DC63F3" w:rsidRPr="006674D0" w:rsidRDefault="00DC63F3" w:rsidP="006674D0">
      <w:pPr>
        <w:numPr>
          <w:ilvl w:val="0"/>
          <w:numId w:val="1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fortalecimiento de la educación inicial; </w:t>
      </w:r>
    </w:p>
    <w:p w14:paraId="493486EE" w14:textId="77777777" w:rsidR="00DC63F3" w:rsidRPr="006674D0" w:rsidRDefault="00DC63F3" w:rsidP="006674D0">
      <w:pPr>
        <w:numPr>
          <w:ilvl w:val="0"/>
          <w:numId w:val="1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mejora de la calidad docente; </w:t>
      </w:r>
    </w:p>
    <w:p w14:paraId="7F293D50" w14:textId="77777777" w:rsidR="00DC63F3" w:rsidRPr="006674D0" w:rsidRDefault="00DC63F3" w:rsidP="006674D0">
      <w:pPr>
        <w:numPr>
          <w:ilvl w:val="0"/>
          <w:numId w:val="1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reducción de las brechas territoriales; </w:t>
      </w:r>
    </w:p>
    <w:p w14:paraId="6C2212A2" w14:textId="77777777" w:rsidR="00DC63F3" w:rsidRPr="006674D0" w:rsidRDefault="00DC63F3" w:rsidP="006674D0">
      <w:pPr>
        <w:numPr>
          <w:ilvl w:val="0"/>
          <w:numId w:val="1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ampliación del acceso a tecnologías digitales; </w:t>
      </w:r>
    </w:p>
    <w:p w14:paraId="7231B255" w14:textId="77777777" w:rsidR="00DC63F3" w:rsidRPr="006674D0" w:rsidRDefault="00DC63F3" w:rsidP="006674D0">
      <w:pPr>
        <w:numPr>
          <w:ilvl w:val="0"/>
          <w:numId w:val="1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desarrollo de competencias para la economía digital; </w:t>
      </w:r>
    </w:p>
    <w:p w14:paraId="77934CDA" w14:textId="77777777" w:rsidR="00DC63F3" w:rsidRPr="006674D0" w:rsidRDefault="00DC63F3" w:rsidP="006674D0">
      <w:pPr>
        <w:numPr>
          <w:ilvl w:val="0"/>
          <w:numId w:val="1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fortalecimiento de la educación técnica y tecnológica. </w:t>
      </w:r>
    </w:p>
    <w:p w14:paraId="68F84FA3"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lastRenderedPageBreak/>
        <w:t>La Comisión ha insistido en que la región debe avanzar hacia sistemas educativos capaces de formar ciudadanos con pensamiento crítico, capacidades científicas y habilidades digitales.</w:t>
      </w:r>
    </w:p>
    <w:p w14:paraId="19141794" w14:textId="77777777" w:rsidR="00DC63F3" w:rsidRPr="006674D0" w:rsidRDefault="00DC63F3" w:rsidP="006674D0">
      <w:pPr>
        <w:spacing w:before="100" w:beforeAutospacing="1" w:after="100" w:afterAutospacing="1" w:line="240" w:lineRule="auto"/>
        <w:jc w:val="both"/>
        <w:outlineLvl w:val="2"/>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Valoración crítica</w:t>
      </w:r>
    </w:p>
    <w:p w14:paraId="32D949CE"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estrategia es sólida desde el punto de vista conceptual y responde a los desafíos contemporáneos. No obstante, la CEPAL dedica relativamente poca atención a la transformación de los modelos pedagógicos, la innovación curricular y la evaluación de competencias, aspectos esenciales para traducir estas orientaciones en mejoras concretas del aprendizaje.</w:t>
      </w:r>
    </w:p>
    <w:p w14:paraId="43E97DC3" w14:textId="77777777" w:rsidR="00DC63F3" w:rsidRPr="006674D0" w:rsidRDefault="00DC63F3"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5.3 Educación superior como actor estratégico del desarrollo</w:t>
      </w:r>
    </w:p>
    <w:p w14:paraId="6F8A8D82"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Uno de los cambios más significativos observados durante este período es la creciente importancia otorgada a las instituciones de educación superior como actores clave del desarrollo.</w:t>
      </w:r>
    </w:p>
    <w:p w14:paraId="3163B51B"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CEPAL reconoce que las universidades deben desempeñar un papel mucho más amplio que la formación profesional, incorporando funciones como:</w:t>
      </w:r>
    </w:p>
    <w:p w14:paraId="59279078" w14:textId="77777777" w:rsidR="00DC63F3" w:rsidRPr="006674D0" w:rsidRDefault="00DC63F3" w:rsidP="006674D0">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investigación científica; </w:t>
      </w:r>
    </w:p>
    <w:p w14:paraId="5DDE2641" w14:textId="77777777" w:rsidR="00DC63F3" w:rsidRPr="006674D0" w:rsidRDefault="00DC63F3" w:rsidP="006674D0">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innovación tecnológica; </w:t>
      </w:r>
    </w:p>
    <w:p w14:paraId="2E6E8393" w14:textId="77777777" w:rsidR="00DC63F3" w:rsidRPr="006674D0" w:rsidRDefault="00DC63F3" w:rsidP="006674D0">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transferencia de conocimiento; </w:t>
      </w:r>
    </w:p>
    <w:p w14:paraId="60BA70D2" w14:textId="77777777" w:rsidR="00DC63F3" w:rsidRPr="006674D0" w:rsidRDefault="00DC63F3" w:rsidP="006674D0">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emprendimiento; </w:t>
      </w:r>
    </w:p>
    <w:p w14:paraId="6B8720FF" w14:textId="77777777" w:rsidR="00DC63F3" w:rsidRPr="006674D0" w:rsidRDefault="00DC63F3" w:rsidP="006674D0">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cooperación internacional; </w:t>
      </w:r>
    </w:p>
    <w:p w14:paraId="3A09C861" w14:textId="77777777" w:rsidR="00DC63F3" w:rsidRPr="006674D0" w:rsidRDefault="00DC63F3" w:rsidP="006674D0">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desarrollo regional; </w:t>
      </w:r>
    </w:p>
    <w:p w14:paraId="245900E4" w14:textId="77777777" w:rsidR="00DC63F3" w:rsidRPr="006674D0" w:rsidRDefault="00DC63F3" w:rsidP="006674D0">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formulación de políticas públicas. </w:t>
      </w:r>
    </w:p>
    <w:p w14:paraId="0583E188"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Asimismo, promueve universidades más conectadas con las necesidades sociales y productivas de sus territorios.</w:t>
      </w:r>
    </w:p>
    <w:p w14:paraId="2F6FC273"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Entre las prioridades identificadas se encuentran:</w:t>
      </w:r>
    </w:p>
    <w:p w14:paraId="6D837769" w14:textId="77777777" w:rsidR="00DC63F3" w:rsidRPr="006674D0" w:rsidRDefault="00DC63F3" w:rsidP="006674D0">
      <w:pPr>
        <w:numPr>
          <w:ilvl w:val="0"/>
          <w:numId w:val="1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fortalecimiento de la investigación aplicada; </w:t>
      </w:r>
    </w:p>
    <w:p w14:paraId="6788FBD7" w14:textId="77777777" w:rsidR="00DC63F3" w:rsidRPr="006674D0" w:rsidRDefault="00DC63F3" w:rsidP="006674D0">
      <w:pPr>
        <w:numPr>
          <w:ilvl w:val="0"/>
          <w:numId w:val="1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internacionalización del conocimiento; </w:t>
      </w:r>
    </w:p>
    <w:p w14:paraId="0D325B53" w14:textId="77777777" w:rsidR="00DC63F3" w:rsidRPr="006674D0" w:rsidRDefault="00DC63F3" w:rsidP="006674D0">
      <w:pPr>
        <w:numPr>
          <w:ilvl w:val="0"/>
          <w:numId w:val="1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movilidad académica; </w:t>
      </w:r>
    </w:p>
    <w:p w14:paraId="5FE62810" w14:textId="77777777" w:rsidR="00DC63F3" w:rsidRPr="006674D0" w:rsidRDefault="00DC63F3" w:rsidP="006674D0">
      <w:pPr>
        <w:numPr>
          <w:ilvl w:val="0"/>
          <w:numId w:val="1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cooperación regional; </w:t>
      </w:r>
    </w:p>
    <w:p w14:paraId="1B9BCE66" w14:textId="77777777" w:rsidR="00DC63F3" w:rsidRPr="006674D0" w:rsidRDefault="00DC63F3" w:rsidP="006674D0">
      <w:pPr>
        <w:numPr>
          <w:ilvl w:val="0"/>
          <w:numId w:val="1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digitalización universitaria; </w:t>
      </w:r>
    </w:p>
    <w:p w14:paraId="4349D7B3" w14:textId="77777777" w:rsidR="00DC63F3" w:rsidRPr="006674D0" w:rsidRDefault="00DC63F3" w:rsidP="006674D0">
      <w:pPr>
        <w:numPr>
          <w:ilvl w:val="0"/>
          <w:numId w:val="1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formación permanente; </w:t>
      </w:r>
    </w:p>
    <w:p w14:paraId="02E4D429" w14:textId="77777777" w:rsidR="00DC63F3" w:rsidRPr="006674D0" w:rsidRDefault="00DC63F3" w:rsidP="006674D0">
      <w:pPr>
        <w:numPr>
          <w:ilvl w:val="0"/>
          <w:numId w:val="1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aprendizaje a lo largo de la vida. </w:t>
      </w:r>
    </w:p>
    <w:p w14:paraId="1FABCC1D" w14:textId="77777777" w:rsidR="00DC63F3" w:rsidRPr="006674D0" w:rsidRDefault="00DC63F3" w:rsidP="006674D0">
      <w:pPr>
        <w:spacing w:before="100" w:beforeAutospacing="1" w:after="100" w:afterAutospacing="1" w:line="240" w:lineRule="auto"/>
        <w:jc w:val="both"/>
        <w:outlineLvl w:val="2"/>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Comentario crítico</w:t>
      </w:r>
    </w:p>
    <w:p w14:paraId="1CC23641"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La CEPAL reconoce acertadamente el papel estratégico de las universidades. Sin embargo, podría profundizar más en temas como la gobernanza universitaria, la autonomía institucional, los mecanismos de financiamiento sostenible y los sistemas de aseguramiento </w:t>
      </w:r>
      <w:r w:rsidRPr="006674D0">
        <w:rPr>
          <w:rFonts w:eastAsia="Times New Roman" w:cs="Times New Roman"/>
          <w:kern w:val="0"/>
          <w:lang w:eastAsia="es-CO"/>
          <w14:ligatures w14:val="none"/>
        </w:rPr>
        <w:lastRenderedPageBreak/>
        <w:t>de la calidad, aspectos decisivos para fortalecer la capacidad transformadora de la educación superior.</w:t>
      </w:r>
    </w:p>
    <w:p w14:paraId="06C23DC2" w14:textId="77777777" w:rsidR="00DC63F3" w:rsidRPr="006674D0" w:rsidRDefault="00DC63F3"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5.4 Ciencia, tecnología e innovación (CTI)</w:t>
      </w:r>
    </w:p>
    <w:p w14:paraId="64C7DE9E"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Comisión considera que el principal obstáculo para el desarrollo científico regional continúa siendo la baja inversión en investigación y desarrollo.</w:t>
      </w:r>
    </w:p>
    <w:p w14:paraId="62B43481"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Mientras las economías más avanzadas destinan entre el 2 % y el 4 % del PIB a I+D, la mayoría de los países latinoamericanos invierte menos del 1 %, lo que limita la generación de conocimiento, la innovación y la competitividad.</w:t>
      </w:r>
    </w:p>
    <w:p w14:paraId="364F224A"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En consecuencia, la CEPAL propone:</w:t>
      </w:r>
    </w:p>
    <w:p w14:paraId="14E33A2A" w14:textId="77777777" w:rsidR="00DC63F3" w:rsidRPr="006674D0" w:rsidRDefault="00DC63F3" w:rsidP="006674D0">
      <w:pPr>
        <w:numPr>
          <w:ilvl w:val="0"/>
          <w:numId w:val="1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aumentar la inversión pública en ciencia y tecnología; </w:t>
      </w:r>
    </w:p>
    <w:p w14:paraId="6C3B2975" w14:textId="77777777" w:rsidR="00DC63F3" w:rsidRPr="006674D0" w:rsidRDefault="00DC63F3" w:rsidP="006674D0">
      <w:pPr>
        <w:numPr>
          <w:ilvl w:val="0"/>
          <w:numId w:val="1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estimular la inversión privada en innovación; </w:t>
      </w:r>
    </w:p>
    <w:p w14:paraId="34B2634B" w14:textId="77777777" w:rsidR="00DC63F3" w:rsidRPr="006674D0" w:rsidRDefault="00DC63F3" w:rsidP="006674D0">
      <w:pPr>
        <w:numPr>
          <w:ilvl w:val="0"/>
          <w:numId w:val="1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fortalecer los organismos nacionales de ciencia; </w:t>
      </w:r>
    </w:p>
    <w:p w14:paraId="3A97FC67" w14:textId="77777777" w:rsidR="00DC63F3" w:rsidRPr="006674D0" w:rsidRDefault="00DC63F3" w:rsidP="006674D0">
      <w:pPr>
        <w:numPr>
          <w:ilvl w:val="0"/>
          <w:numId w:val="1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crear redes regionales de investigación; </w:t>
      </w:r>
    </w:p>
    <w:p w14:paraId="73BAD22F" w14:textId="77777777" w:rsidR="00DC63F3" w:rsidRPr="006674D0" w:rsidRDefault="00DC63F3" w:rsidP="006674D0">
      <w:pPr>
        <w:numPr>
          <w:ilvl w:val="0"/>
          <w:numId w:val="1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promover la ciencia abierta; </w:t>
      </w:r>
    </w:p>
    <w:p w14:paraId="611E3BF3" w14:textId="77777777" w:rsidR="00DC63F3" w:rsidRPr="006674D0" w:rsidRDefault="00DC63F3" w:rsidP="006674D0">
      <w:pPr>
        <w:numPr>
          <w:ilvl w:val="0"/>
          <w:numId w:val="1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desarrollar infraestructura científica; </w:t>
      </w:r>
    </w:p>
    <w:p w14:paraId="5FEEC240" w14:textId="77777777" w:rsidR="00DC63F3" w:rsidRPr="006674D0" w:rsidRDefault="00DC63F3" w:rsidP="006674D0">
      <w:pPr>
        <w:numPr>
          <w:ilvl w:val="0"/>
          <w:numId w:val="1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impulsar la innovación empresarial. </w:t>
      </w:r>
    </w:p>
    <w:p w14:paraId="659EFD72"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También enfatiza la necesidad de consolidar sistemas nacionales de innovación articulados entre:</w:t>
      </w:r>
    </w:p>
    <w:p w14:paraId="1F6DE358" w14:textId="77777777" w:rsidR="00DC63F3" w:rsidRPr="006674D0" w:rsidRDefault="00DC63F3" w:rsidP="006674D0">
      <w:pPr>
        <w:numPr>
          <w:ilvl w:val="0"/>
          <w:numId w:val="1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universidades; </w:t>
      </w:r>
    </w:p>
    <w:p w14:paraId="55B77425" w14:textId="77777777" w:rsidR="00DC63F3" w:rsidRPr="006674D0" w:rsidRDefault="00DC63F3" w:rsidP="006674D0">
      <w:pPr>
        <w:numPr>
          <w:ilvl w:val="0"/>
          <w:numId w:val="1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centros de investigación; </w:t>
      </w:r>
    </w:p>
    <w:p w14:paraId="79EF8CB9" w14:textId="77777777" w:rsidR="00DC63F3" w:rsidRPr="006674D0" w:rsidRDefault="00DC63F3" w:rsidP="006674D0">
      <w:pPr>
        <w:numPr>
          <w:ilvl w:val="0"/>
          <w:numId w:val="1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empresas; </w:t>
      </w:r>
    </w:p>
    <w:p w14:paraId="75F69AE0" w14:textId="77777777" w:rsidR="00DC63F3" w:rsidRPr="006674D0" w:rsidRDefault="00DC63F3" w:rsidP="006674D0">
      <w:pPr>
        <w:numPr>
          <w:ilvl w:val="0"/>
          <w:numId w:val="1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gobiernos; </w:t>
      </w:r>
    </w:p>
    <w:p w14:paraId="10A08561" w14:textId="77777777" w:rsidR="00DC63F3" w:rsidRPr="006674D0" w:rsidRDefault="00DC63F3" w:rsidP="006674D0">
      <w:pPr>
        <w:numPr>
          <w:ilvl w:val="0"/>
          <w:numId w:val="1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organismos internacionales. </w:t>
      </w:r>
    </w:p>
    <w:p w14:paraId="79299368" w14:textId="77777777" w:rsidR="00DC63F3" w:rsidRPr="006674D0" w:rsidRDefault="00DC63F3" w:rsidP="006674D0">
      <w:pPr>
        <w:spacing w:before="100" w:beforeAutospacing="1" w:after="100" w:afterAutospacing="1" w:line="240" w:lineRule="auto"/>
        <w:jc w:val="both"/>
        <w:outlineLvl w:val="2"/>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Evaluación crítica</w:t>
      </w:r>
    </w:p>
    <w:p w14:paraId="4B08ED53"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Las recomendaciones son consistentes con la evidencia internacional. Sin embargo, la CEPAL podría incorporar con mayor énfasis mecanismos de seguimiento y evaluación que permitan medir el impacto real de las políticas de CTI en productividad, competitividad y bienestar social.</w:t>
      </w:r>
    </w:p>
    <w:p w14:paraId="07368754" w14:textId="77777777" w:rsidR="00DC63F3" w:rsidRPr="006674D0" w:rsidRDefault="00DC63F3"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5.5 Transformación digital e inteligencia artificial</w:t>
      </w:r>
    </w:p>
    <w:p w14:paraId="51F265ED"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Uno de los temas que adquirió mayor relevancia entre 2023 y 2026 fue la transformación digital.</w:t>
      </w:r>
    </w:p>
    <w:p w14:paraId="5B3D08B7"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CEPAL sostiene que la digitalización constituye una oportunidad histórica para reducir brechas estructurales, siempre que vaya acompañada de políticas públicas inclusivas.</w:t>
      </w:r>
    </w:p>
    <w:p w14:paraId="4F844998"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Las prioridades estratégicas incluyen:</w:t>
      </w:r>
    </w:p>
    <w:p w14:paraId="21082263" w14:textId="77777777" w:rsidR="00DC63F3" w:rsidRPr="006674D0" w:rsidRDefault="00DC63F3" w:rsidP="006674D0">
      <w:pPr>
        <w:numPr>
          <w:ilvl w:val="0"/>
          <w:numId w:val="1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lastRenderedPageBreak/>
        <w:t xml:space="preserve">conectividad universal; </w:t>
      </w:r>
    </w:p>
    <w:p w14:paraId="501C0575" w14:textId="77777777" w:rsidR="00DC63F3" w:rsidRPr="006674D0" w:rsidRDefault="00DC63F3" w:rsidP="006674D0">
      <w:pPr>
        <w:numPr>
          <w:ilvl w:val="0"/>
          <w:numId w:val="1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alfabetización digital; </w:t>
      </w:r>
    </w:p>
    <w:p w14:paraId="5E0A3D02" w14:textId="77777777" w:rsidR="00DC63F3" w:rsidRPr="006674D0" w:rsidRDefault="00DC63F3" w:rsidP="006674D0">
      <w:pPr>
        <w:numPr>
          <w:ilvl w:val="0"/>
          <w:numId w:val="1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competencias digitales; </w:t>
      </w:r>
    </w:p>
    <w:p w14:paraId="49D357F5" w14:textId="77777777" w:rsidR="00DC63F3" w:rsidRPr="006674D0" w:rsidRDefault="00DC63F3" w:rsidP="006674D0">
      <w:pPr>
        <w:numPr>
          <w:ilvl w:val="0"/>
          <w:numId w:val="1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gobierno digital; </w:t>
      </w:r>
    </w:p>
    <w:p w14:paraId="4BE230DD" w14:textId="77777777" w:rsidR="00DC63F3" w:rsidRPr="006674D0" w:rsidRDefault="00DC63F3" w:rsidP="006674D0">
      <w:pPr>
        <w:numPr>
          <w:ilvl w:val="0"/>
          <w:numId w:val="1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economía digital; </w:t>
      </w:r>
    </w:p>
    <w:p w14:paraId="3F79667A" w14:textId="77777777" w:rsidR="00DC63F3" w:rsidRPr="006674D0" w:rsidRDefault="00DC63F3" w:rsidP="006674D0">
      <w:pPr>
        <w:numPr>
          <w:ilvl w:val="0"/>
          <w:numId w:val="1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inteligencia artificial responsable; </w:t>
      </w:r>
    </w:p>
    <w:p w14:paraId="2F5D2825" w14:textId="77777777" w:rsidR="00DC63F3" w:rsidRPr="006674D0" w:rsidRDefault="00DC63F3" w:rsidP="006674D0">
      <w:pPr>
        <w:numPr>
          <w:ilvl w:val="0"/>
          <w:numId w:val="1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ciberseguridad; </w:t>
      </w:r>
    </w:p>
    <w:p w14:paraId="23D9D468" w14:textId="77777777" w:rsidR="00DC63F3" w:rsidRPr="006674D0" w:rsidRDefault="00DC63F3" w:rsidP="006674D0">
      <w:pPr>
        <w:numPr>
          <w:ilvl w:val="0"/>
          <w:numId w:val="1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protección de datos; </w:t>
      </w:r>
    </w:p>
    <w:p w14:paraId="76B65FC3" w14:textId="77777777" w:rsidR="00DC63F3" w:rsidRPr="006674D0" w:rsidRDefault="00DC63F3" w:rsidP="006674D0">
      <w:pPr>
        <w:numPr>
          <w:ilvl w:val="0"/>
          <w:numId w:val="1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fortalecimiento de capacidades regulatorias. </w:t>
      </w:r>
    </w:p>
    <w:p w14:paraId="4D84AEB4"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Comisión advierte que la inteligencia artificial puede profundizar las desigualdades si la región no fortalece rápidamente sus capacidades científicas y tecnológicas.</w:t>
      </w:r>
    </w:p>
    <w:p w14:paraId="762F1AC3" w14:textId="77777777" w:rsidR="00DC63F3" w:rsidRPr="006674D0" w:rsidRDefault="00DC63F3" w:rsidP="006674D0">
      <w:pPr>
        <w:spacing w:before="100" w:beforeAutospacing="1" w:after="100" w:afterAutospacing="1" w:line="240" w:lineRule="auto"/>
        <w:jc w:val="both"/>
        <w:outlineLvl w:val="2"/>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Comentario crítico</w:t>
      </w:r>
    </w:p>
    <w:p w14:paraId="08228FD9"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CEPAL ha sido una de las instituciones regionales más activas en la promoción de una gobernanza responsable de la inteligencia artificial. No obstante, aún es necesario avanzar en orientaciones más específicas para que los sistemas educativos integren estas tecnologías de manera ética, segura y pedagógicamente pertinente.</w:t>
      </w:r>
    </w:p>
    <w:p w14:paraId="47B0D133" w14:textId="77777777" w:rsidR="00DC63F3" w:rsidRPr="006674D0" w:rsidRDefault="00DC63F3"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5.6 La Agenda Digital para América Latina y el Caribe (</w:t>
      </w:r>
      <w:proofErr w:type="spellStart"/>
      <w:r w:rsidRPr="006674D0">
        <w:rPr>
          <w:rFonts w:eastAsia="Times New Roman" w:cs="Times New Roman"/>
          <w:b/>
          <w:bCs/>
          <w:kern w:val="36"/>
          <w:lang w:eastAsia="es-CO"/>
          <w14:ligatures w14:val="none"/>
        </w:rPr>
        <w:t>eLAC</w:t>
      </w:r>
      <w:proofErr w:type="spellEnd"/>
      <w:r w:rsidRPr="006674D0">
        <w:rPr>
          <w:rFonts w:eastAsia="Times New Roman" w:cs="Times New Roman"/>
          <w:b/>
          <w:bCs/>
          <w:kern w:val="36"/>
          <w:lang w:eastAsia="es-CO"/>
          <w14:ligatures w14:val="none"/>
        </w:rPr>
        <w:t>)</w:t>
      </w:r>
    </w:p>
    <w:p w14:paraId="65567135"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La Agenda Digital </w:t>
      </w:r>
      <w:proofErr w:type="spellStart"/>
      <w:r w:rsidRPr="006674D0">
        <w:rPr>
          <w:rFonts w:eastAsia="Times New Roman" w:cs="Times New Roman"/>
          <w:kern w:val="0"/>
          <w:lang w:eastAsia="es-CO"/>
          <w14:ligatures w14:val="none"/>
        </w:rPr>
        <w:t>eLAC</w:t>
      </w:r>
      <w:proofErr w:type="spellEnd"/>
      <w:r w:rsidRPr="006674D0">
        <w:rPr>
          <w:rFonts w:eastAsia="Times New Roman" w:cs="Times New Roman"/>
          <w:kern w:val="0"/>
          <w:lang w:eastAsia="es-CO"/>
          <w14:ligatures w14:val="none"/>
        </w:rPr>
        <w:t xml:space="preserve"> se consolidó durante este período como uno de los principales instrumentos de cooperación regional coordinados por la CEPAL.</w:t>
      </w:r>
    </w:p>
    <w:p w14:paraId="4041FCBC"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Sus objetivos principales son:</w:t>
      </w:r>
    </w:p>
    <w:p w14:paraId="3E898327" w14:textId="77777777" w:rsidR="00DC63F3" w:rsidRPr="006674D0" w:rsidRDefault="00DC63F3" w:rsidP="006674D0">
      <w:pPr>
        <w:numPr>
          <w:ilvl w:val="0"/>
          <w:numId w:val="1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acelerar la transformación digital; </w:t>
      </w:r>
    </w:p>
    <w:p w14:paraId="3C793441" w14:textId="77777777" w:rsidR="00DC63F3" w:rsidRPr="006674D0" w:rsidRDefault="00DC63F3" w:rsidP="006674D0">
      <w:pPr>
        <w:numPr>
          <w:ilvl w:val="0"/>
          <w:numId w:val="1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fortalecer la infraestructura tecnológica; </w:t>
      </w:r>
    </w:p>
    <w:p w14:paraId="10D6673A" w14:textId="77777777" w:rsidR="00DC63F3" w:rsidRPr="006674D0" w:rsidRDefault="00DC63F3" w:rsidP="006674D0">
      <w:pPr>
        <w:numPr>
          <w:ilvl w:val="0"/>
          <w:numId w:val="1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promover la inclusión digital; </w:t>
      </w:r>
    </w:p>
    <w:p w14:paraId="0C42C5BC" w14:textId="77777777" w:rsidR="00DC63F3" w:rsidRPr="006674D0" w:rsidRDefault="00DC63F3" w:rsidP="006674D0">
      <w:pPr>
        <w:numPr>
          <w:ilvl w:val="0"/>
          <w:numId w:val="1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impulsar gobiernos digitales; </w:t>
      </w:r>
    </w:p>
    <w:p w14:paraId="78A87078" w14:textId="77777777" w:rsidR="00DC63F3" w:rsidRPr="006674D0" w:rsidRDefault="00DC63F3" w:rsidP="006674D0">
      <w:pPr>
        <w:numPr>
          <w:ilvl w:val="0"/>
          <w:numId w:val="1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mejorar las capacidades digitales de la ciudadanía; </w:t>
      </w:r>
    </w:p>
    <w:p w14:paraId="70EFAE1E" w14:textId="77777777" w:rsidR="00DC63F3" w:rsidRPr="006674D0" w:rsidRDefault="00DC63F3" w:rsidP="006674D0">
      <w:pPr>
        <w:numPr>
          <w:ilvl w:val="0"/>
          <w:numId w:val="1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promover la innovación tecnológica; </w:t>
      </w:r>
    </w:p>
    <w:p w14:paraId="35F79EEC" w14:textId="77777777" w:rsidR="00DC63F3" w:rsidRPr="006674D0" w:rsidRDefault="00DC63F3" w:rsidP="006674D0">
      <w:pPr>
        <w:numPr>
          <w:ilvl w:val="0"/>
          <w:numId w:val="1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reducir la brecha digital entre países. </w:t>
      </w:r>
    </w:p>
    <w:p w14:paraId="77989E78"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En materia educativa, la Agenda </w:t>
      </w:r>
      <w:proofErr w:type="spellStart"/>
      <w:r w:rsidRPr="006674D0">
        <w:rPr>
          <w:rFonts w:eastAsia="Times New Roman" w:cs="Times New Roman"/>
          <w:kern w:val="0"/>
          <w:lang w:eastAsia="es-CO"/>
          <w14:ligatures w14:val="none"/>
        </w:rPr>
        <w:t>eLAC</w:t>
      </w:r>
      <w:proofErr w:type="spellEnd"/>
      <w:r w:rsidRPr="006674D0">
        <w:rPr>
          <w:rFonts w:eastAsia="Times New Roman" w:cs="Times New Roman"/>
          <w:kern w:val="0"/>
          <w:lang w:eastAsia="es-CO"/>
          <w14:ligatures w14:val="none"/>
        </w:rPr>
        <w:t xml:space="preserve"> promueve:</w:t>
      </w:r>
    </w:p>
    <w:p w14:paraId="35046086" w14:textId="77777777" w:rsidR="00DC63F3" w:rsidRPr="006674D0" w:rsidRDefault="00DC63F3" w:rsidP="006674D0">
      <w:pPr>
        <w:numPr>
          <w:ilvl w:val="0"/>
          <w:numId w:val="17"/>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conectividad escolar; </w:t>
      </w:r>
    </w:p>
    <w:p w14:paraId="03F7C322" w14:textId="77777777" w:rsidR="00DC63F3" w:rsidRPr="006674D0" w:rsidRDefault="00DC63F3" w:rsidP="006674D0">
      <w:pPr>
        <w:numPr>
          <w:ilvl w:val="0"/>
          <w:numId w:val="17"/>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plataformas de aprendizaje; </w:t>
      </w:r>
    </w:p>
    <w:p w14:paraId="5305A9A5" w14:textId="77777777" w:rsidR="00DC63F3" w:rsidRPr="006674D0" w:rsidRDefault="00DC63F3" w:rsidP="006674D0">
      <w:pPr>
        <w:numPr>
          <w:ilvl w:val="0"/>
          <w:numId w:val="17"/>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formación docente digital; </w:t>
      </w:r>
    </w:p>
    <w:p w14:paraId="1B4A04EC" w14:textId="77777777" w:rsidR="00DC63F3" w:rsidRPr="006674D0" w:rsidRDefault="00DC63F3" w:rsidP="006674D0">
      <w:pPr>
        <w:numPr>
          <w:ilvl w:val="0"/>
          <w:numId w:val="17"/>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recursos educativos abiertos; </w:t>
      </w:r>
    </w:p>
    <w:p w14:paraId="01AB8D62" w14:textId="77777777" w:rsidR="00DC63F3" w:rsidRPr="006674D0" w:rsidRDefault="00DC63F3" w:rsidP="006674D0">
      <w:pPr>
        <w:numPr>
          <w:ilvl w:val="0"/>
          <w:numId w:val="17"/>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fortalecimiento de competencias digitales. </w:t>
      </w:r>
    </w:p>
    <w:p w14:paraId="2D5B8C32" w14:textId="77777777" w:rsidR="00DC63F3" w:rsidRPr="006674D0" w:rsidRDefault="00DC63F3" w:rsidP="006674D0">
      <w:pPr>
        <w:spacing w:before="100" w:beforeAutospacing="1" w:after="100" w:afterAutospacing="1" w:line="240" w:lineRule="auto"/>
        <w:jc w:val="both"/>
        <w:outlineLvl w:val="2"/>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Valoración crítica</w:t>
      </w:r>
    </w:p>
    <w:p w14:paraId="2C1E185C"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La Agenda </w:t>
      </w:r>
      <w:proofErr w:type="spellStart"/>
      <w:r w:rsidRPr="006674D0">
        <w:rPr>
          <w:rFonts w:eastAsia="Times New Roman" w:cs="Times New Roman"/>
          <w:kern w:val="0"/>
          <w:lang w:eastAsia="es-CO"/>
          <w14:ligatures w14:val="none"/>
        </w:rPr>
        <w:t>eLAC</w:t>
      </w:r>
      <w:proofErr w:type="spellEnd"/>
      <w:r w:rsidRPr="006674D0">
        <w:rPr>
          <w:rFonts w:eastAsia="Times New Roman" w:cs="Times New Roman"/>
          <w:kern w:val="0"/>
          <w:lang w:eastAsia="es-CO"/>
          <w14:ligatures w14:val="none"/>
        </w:rPr>
        <w:t xml:space="preserve"> constituye probablemente el mecanismo de cooperación regional más consolidado en materia digital. Sin embargo, persisten importantes diferencias entre los </w:t>
      </w:r>
      <w:r w:rsidRPr="006674D0">
        <w:rPr>
          <w:rFonts w:eastAsia="Times New Roman" w:cs="Times New Roman"/>
          <w:kern w:val="0"/>
          <w:lang w:eastAsia="es-CO"/>
          <w14:ligatures w14:val="none"/>
        </w:rPr>
        <w:lastRenderedPageBreak/>
        <w:t>países respecto a la velocidad de implementación y a la disponibilidad de recursos financieros y técnicos.</w:t>
      </w:r>
    </w:p>
    <w:p w14:paraId="27A2F54E" w14:textId="77777777" w:rsidR="00DC63F3" w:rsidRPr="006674D0" w:rsidRDefault="00DC63F3"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5.7 Cooperación regional para la generación de conocimiento</w:t>
      </w:r>
    </w:p>
    <w:p w14:paraId="31A9693C"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CEPAL ha fortalecido su papel como articuladora de redes regionales de cooperación en educación, ciencia e innovación.</w:t>
      </w:r>
    </w:p>
    <w:p w14:paraId="4B36E99B"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Durante los últimos cinco años promovió iniciativas relacionadas con:</w:t>
      </w:r>
    </w:p>
    <w:p w14:paraId="14ACABBD" w14:textId="77777777" w:rsidR="00DC63F3" w:rsidRPr="006674D0" w:rsidRDefault="00DC63F3" w:rsidP="006674D0">
      <w:pPr>
        <w:numPr>
          <w:ilvl w:val="0"/>
          <w:numId w:val="1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intercambio de buenas prácticas; </w:t>
      </w:r>
    </w:p>
    <w:p w14:paraId="3F452FA0" w14:textId="77777777" w:rsidR="00DC63F3" w:rsidRPr="006674D0" w:rsidRDefault="00DC63F3" w:rsidP="006674D0">
      <w:pPr>
        <w:numPr>
          <w:ilvl w:val="0"/>
          <w:numId w:val="1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generación de estadísticas regionales; </w:t>
      </w:r>
    </w:p>
    <w:p w14:paraId="5C40EF48" w14:textId="77777777" w:rsidR="00DC63F3" w:rsidRPr="006674D0" w:rsidRDefault="00DC63F3" w:rsidP="006674D0">
      <w:pPr>
        <w:numPr>
          <w:ilvl w:val="0"/>
          <w:numId w:val="1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elaboración de indicadores comparados; </w:t>
      </w:r>
    </w:p>
    <w:p w14:paraId="4228750C" w14:textId="77777777" w:rsidR="00DC63F3" w:rsidRPr="006674D0" w:rsidRDefault="00DC63F3" w:rsidP="006674D0">
      <w:pPr>
        <w:numPr>
          <w:ilvl w:val="0"/>
          <w:numId w:val="1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fortalecimiento institucional; </w:t>
      </w:r>
    </w:p>
    <w:p w14:paraId="251F29AC" w14:textId="77777777" w:rsidR="00DC63F3" w:rsidRPr="006674D0" w:rsidRDefault="00DC63F3" w:rsidP="006674D0">
      <w:pPr>
        <w:numPr>
          <w:ilvl w:val="0"/>
          <w:numId w:val="1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cooperación Sur-Sur; </w:t>
      </w:r>
    </w:p>
    <w:p w14:paraId="378E7CEF" w14:textId="77777777" w:rsidR="00DC63F3" w:rsidRPr="006674D0" w:rsidRDefault="00DC63F3" w:rsidP="006674D0">
      <w:pPr>
        <w:numPr>
          <w:ilvl w:val="0"/>
          <w:numId w:val="1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cooperación triangular; </w:t>
      </w:r>
    </w:p>
    <w:p w14:paraId="705BA14E" w14:textId="77777777" w:rsidR="00DC63F3" w:rsidRPr="006674D0" w:rsidRDefault="00DC63F3" w:rsidP="006674D0">
      <w:pPr>
        <w:numPr>
          <w:ilvl w:val="0"/>
          <w:numId w:val="1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desarrollo de capacidades técnicas. </w:t>
      </w:r>
    </w:p>
    <w:p w14:paraId="06482E4B"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Esta función ha permitido compartir experiencias exitosas entre países con diferentes niveles de desarrollo.</w:t>
      </w:r>
    </w:p>
    <w:p w14:paraId="1A249797" w14:textId="77777777" w:rsidR="00DC63F3" w:rsidRPr="006674D0" w:rsidRDefault="00DC63F3" w:rsidP="006674D0">
      <w:pPr>
        <w:spacing w:before="100" w:beforeAutospacing="1" w:after="100" w:afterAutospacing="1" w:line="240" w:lineRule="auto"/>
        <w:jc w:val="both"/>
        <w:outlineLvl w:val="2"/>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Análisis crítico</w:t>
      </w:r>
    </w:p>
    <w:p w14:paraId="08D83302"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cooperación regional constituye una de las mayores fortalezas de la CEPAL. Sin embargo, sería conveniente avanzar hacia mecanismos que faciliten no solo el intercambio de experiencias, sino también la ejecución conjunta de proyectos regionales de investigación, innovación y formación avanzada.</w:t>
      </w:r>
    </w:p>
    <w:p w14:paraId="7768BC40" w14:textId="77777777" w:rsidR="00DC63F3" w:rsidRPr="006674D0" w:rsidRDefault="00DC63F3"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Cuadro sintético. Principales estrategias de la CEPAL (2021–2026)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18"/>
        <w:gridCol w:w="2362"/>
        <w:gridCol w:w="2164"/>
        <w:gridCol w:w="2294"/>
      </w:tblGrid>
      <w:tr w:rsidR="00DC63F3" w:rsidRPr="006674D0" w14:paraId="7313B3E3" w14:textId="77777777">
        <w:trPr>
          <w:tblHeader/>
          <w:tblCellSpacing w:w="15" w:type="dxa"/>
        </w:trPr>
        <w:tc>
          <w:tcPr>
            <w:tcW w:w="0" w:type="auto"/>
            <w:vAlign w:val="center"/>
            <w:hideMark/>
          </w:tcPr>
          <w:p w14:paraId="080AEA33" w14:textId="77777777" w:rsidR="00DC63F3" w:rsidRPr="006674D0" w:rsidRDefault="00DC63F3" w:rsidP="006674D0">
            <w:pPr>
              <w:spacing w:after="0" w:line="240" w:lineRule="auto"/>
              <w:jc w:val="both"/>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Estrategia</w:t>
            </w:r>
          </w:p>
        </w:tc>
        <w:tc>
          <w:tcPr>
            <w:tcW w:w="0" w:type="auto"/>
            <w:vAlign w:val="center"/>
            <w:hideMark/>
          </w:tcPr>
          <w:p w14:paraId="25C75F40" w14:textId="77777777" w:rsidR="00DC63F3" w:rsidRPr="006674D0" w:rsidRDefault="00DC63F3" w:rsidP="006674D0">
            <w:pPr>
              <w:spacing w:after="0" w:line="240" w:lineRule="auto"/>
              <w:jc w:val="both"/>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Objetivo principal</w:t>
            </w:r>
          </w:p>
        </w:tc>
        <w:tc>
          <w:tcPr>
            <w:tcW w:w="0" w:type="auto"/>
            <w:vAlign w:val="center"/>
            <w:hideMark/>
          </w:tcPr>
          <w:p w14:paraId="6C9DE0FB" w14:textId="77777777" w:rsidR="00DC63F3" w:rsidRPr="006674D0" w:rsidRDefault="00DC63F3" w:rsidP="006674D0">
            <w:pPr>
              <w:spacing w:after="0" w:line="240" w:lineRule="auto"/>
              <w:jc w:val="both"/>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Fortalezas</w:t>
            </w:r>
          </w:p>
        </w:tc>
        <w:tc>
          <w:tcPr>
            <w:tcW w:w="0" w:type="auto"/>
            <w:vAlign w:val="center"/>
            <w:hideMark/>
          </w:tcPr>
          <w:p w14:paraId="7FCCE900" w14:textId="77777777" w:rsidR="00DC63F3" w:rsidRPr="006674D0" w:rsidRDefault="00DC63F3" w:rsidP="006674D0">
            <w:pPr>
              <w:spacing w:after="0" w:line="240" w:lineRule="auto"/>
              <w:jc w:val="both"/>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Desafíos</w:t>
            </w:r>
          </w:p>
        </w:tc>
      </w:tr>
      <w:tr w:rsidR="00DC63F3" w:rsidRPr="006674D0" w14:paraId="496E7774" w14:textId="77777777">
        <w:trPr>
          <w:tblCellSpacing w:w="15" w:type="dxa"/>
        </w:trPr>
        <w:tc>
          <w:tcPr>
            <w:tcW w:w="0" w:type="auto"/>
            <w:vAlign w:val="center"/>
            <w:hideMark/>
          </w:tcPr>
          <w:p w14:paraId="55E8F44A"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Transformación productiva</w:t>
            </w:r>
          </w:p>
        </w:tc>
        <w:tc>
          <w:tcPr>
            <w:tcW w:w="0" w:type="auto"/>
            <w:vAlign w:val="center"/>
            <w:hideMark/>
          </w:tcPr>
          <w:p w14:paraId="64F09937"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Incrementar productividad y sostenibilidad</w:t>
            </w:r>
          </w:p>
        </w:tc>
        <w:tc>
          <w:tcPr>
            <w:tcW w:w="0" w:type="auto"/>
            <w:vAlign w:val="center"/>
            <w:hideMark/>
          </w:tcPr>
          <w:p w14:paraId="7D32C71E"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Visión integral</w:t>
            </w:r>
          </w:p>
        </w:tc>
        <w:tc>
          <w:tcPr>
            <w:tcW w:w="0" w:type="auto"/>
            <w:vAlign w:val="center"/>
            <w:hideMark/>
          </w:tcPr>
          <w:p w14:paraId="200DB892"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Implementación desigual</w:t>
            </w:r>
          </w:p>
        </w:tc>
      </w:tr>
      <w:tr w:rsidR="00DC63F3" w:rsidRPr="006674D0" w14:paraId="0057434B" w14:textId="77777777">
        <w:trPr>
          <w:tblCellSpacing w:w="15" w:type="dxa"/>
        </w:trPr>
        <w:tc>
          <w:tcPr>
            <w:tcW w:w="0" w:type="auto"/>
            <w:vAlign w:val="center"/>
            <w:hideMark/>
          </w:tcPr>
          <w:p w14:paraId="2DE982BF"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Educación</w:t>
            </w:r>
          </w:p>
        </w:tc>
        <w:tc>
          <w:tcPr>
            <w:tcW w:w="0" w:type="auto"/>
            <w:vAlign w:val="center"/>
            <w:hideMark/>
          </w:tcPr>
          <w:p w14:paraId="7249988C"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Reducir brechas y desarrollar capacidades</w:t>
            </w:r>
          </w:p>
        </w:tc>
        <w:tc>
          <w:tcPr>
            <w:tcW w:w="0" w:type="auto"/>
            <w:vAlign w:val="center"/>
            <w:hideMark/>
          </w:tcPr>
          <w:p w14:paraId="0C6E37C9"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Enfoque de inclusión</w:t>
            </w:r>
          </w:p>
        </w:tc>
        <w:tc>
          <w:tcPr>
            <w:tcW w:w="0" w:type="auto"/>
            <w:vAlign w:val="center"/>
            <w:hideMark/>
          </w:tcPr>
          <w:p w14:paraId="7B5ED67C"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Persisten problemas de calidad</w:t>
            </w:r>
          </w:p>
        </w:tc>
      </w:tr>
      <w:tr w:rsidR="00DC63F3" w:rsidRPr="006674D0" w14:paraId="29D275EE" w14:textId="77777777">
        <w:trPr>
          <w:tblCellSpacing w:w="15" w:type="dxa"/>
        </w:trPr>
        <w:tc>
          <w:tcPr>
            <w:tcW w:w="0" w:type="auto"/>
            <w:vAlign w:val="center"/>
            <w:hideMark/>
          </w:tcPr>
          <w:p w14:paraId="2EBD4B9F"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Educación superior</w:t>
            </w:r>
          </w:p>
        </w:tc>
        <w:tc>
          <w:tcPr>
            <w:tcW w:w="0" w:type="auto"/>
            <w:vAlign w:val="center"/>
            <w:hideMark/>
          </w:tcPr>
          <w:p w14:paraId="2F0ACF28"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Fortalecer investigación e innovación</w:t>
            </w:r>
          </w:p>
        </w:tc>
        <w:tc>
          <w:tcPr>
            <w:tcW w:w="0" w:type="auto"/>
            <w:vAlign w:val="center"/>
            <w:hideMark/>
          </w:tcPr>
          <w:p w14:paraId="4CBA02D4"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Mayor articulación con el desarrollo</w:t>
            </w:r>
          </w:p>
        </w:tc>
        <w:tc>
          <w:tcPr>
            <w:tcW w:w="0" w:type="auto"/>
            <w:vAlign w:val="center"/>
            <w:hideMark/>
          </w:tcPr>
          <w:p w14:paraId="170B5BEE"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Financiamiento insuficiente</w:t>
            </w:r>
          </w:p>
        </w:tc>
      </w:tr>
      <w:tr w:rsidR="00DC63F3" w:rsidRPr="006674D0" w14:paraId="083A6BF8" w14:textId="77777777">
        <w:trPr>
          <w:tblCellSpacing w:w="15" w:type="dxa"/>
        </w:trPr>
        <w:tc>
          <w:tcPr>
            <w:tcW w:w="0" w:type="auto"/>
            <w:vAlign w:val="center"/>
            <w:hideMark/>
          </w:tcPr>
          <w:p w14:paraId="0A02F558"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Ciencia, tecnología e innovación</w:t>
            </w:r>
          </w:p>
        </w:tc>
        <w:tc>
          <w:tcPr>
            <w:tcW w:w="0" w:type="auto"/>
            <w:vAlign w:val="center"/>
            <w:hideMark/>
          </w:tcPr>
          <w:p w14:paraId="2E8AE831"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Impulsar economías basadas en conocimiento</w:t>
            </w:r>
          </w:p>
        </w:tc>
        <w:tc>
          <w:tcPr>
            <w:tcW w:w="0" w:type="auto"/>
            <w:vAlign w:val="center"/>
            <w:hideMark/>
          </w:tcPr>
          <w:p w14:paraId="21FA749F"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Promueve sistemas nacionales de innovación</w:t>
            </w:r>
          </w:p>
        </w:tc>
        <w:tc>
          <w:tcPr>
            <w:tcW w:w="0" w:type="auto"/>
            <w:vAlign w:val="center"/>
            <w:hideMark/>
          </w:tcPr>
          <w:p w14:paraId="2058C2EB"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Baja inversión en I+D</w:t>
            </w:r>
          </w:p>
        </w:tc>
      </w:tr>
      <w:tr w:rsidR="00DC63F3" w:rsidRPr="006674D0" w14:paraId="5FEB8202" w14:textId="77777777">
        <w:trPr>
          <w:tblCellSpacing w:w="15" w:type="dxa"/>
        </w:trPr>
        <w:tc>
          <w:tcPr>
            <w:tcW w:w="0" w:type="auto"/>
            <w:vAlign w:val="center"/>
            <w:hideMark/>
          </w:tcPr>
          <w:p w14:paraId="444CBE38"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Agenda Digital </w:t>
            </w:r>
            <w:proofErr w:type="spellStart"/>
            <w:r w:rsidRPr="006674D0">
              <w:rPr>
                <w:rFonts w:eastAsia="Times New Roman" w:cs="Times New Roman"/>
                <w:kern w:val="0"/>
                <w:lang w:eastAsia="es-CO"/>
                <w14:ligatures w14:val="none"/>
              </w:rPr>
              <w:t>eLAC</w:t>
            </w:r>
            <w:proofErr w:type="spellEnd"/>
          </w:p>
        </w:tc>
        <w:tc>
          <w:tcPr>
            <w:tcW w:w="0" w:type="auto"/>
            <w:vAlign w:val="center"/>
            <w:hideMark/>
          </w:tcPr>
          <w:p w14:paraId="4F2A3BDD"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Acelerar transformación digital</w:t>
            </w:r>
          </w:p>
        </w:tc>
        <w:tc>
          <w:tcPr>
            <w:tcW w:w="0" w:type="auto"/>
            <w:vAlign w:val="center"/>
            <w:hideMark/>
          </w:tcPr>
          <w:p w14:paraId="22477F1A"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Cooperación regional consolidada</w:t>
            </w:r>
          </w:p>
        </w:tc>
        <w:tc>
          <w:tcPr>
            <w:tcW w:w="0" w:type="auto"/>
            <w:vAlign w:val="center"/>
            <w:hideMark/>
          </w:tcPr>
          <w:p w14:paraId="2BE3DEEA"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Brechas de infraestructura</w:t>
            </w:r>
          </w:p>
        </w:tc>
      </w:tr>
      <w:tr w:rsidR="00DC63F3" w:rsidRPr="006674D0" w14:paraId="3636AA6D" w14:textId="77777777">
        <w:trPr>
          <w:tblCellSpacing w:w="15" w:type="dxa"/>
        </w:trPr>
        <w:tc>
          <w:tcPr>
            <w:tcW w:w="0" w:type="auto"/>
            <w:vAlign w:val="center"/>
            <w:hideMark/>
          </w:tcPr>
          <w:p w14:paraId="68E7801C"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Inteligencia Artificial</w:t>
            </w:r>
          </w:p>
        </w:tc>
        <w:tc>
          <w:tcPr>
            <w:tcW w:w="0" w:type="auto"/>
            <w:vAlign w:val="center"/>
            <w:hideMark/>
          </w:tcPr>
          <w:p w14:paraId="142A95E8"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Uso responsable y desarrollo de capacidades</w:t>
            </w:r>
          </w:p>
        </w:tc>
        <w:tc>
          <w:tcPr>
            <w:tcW w:w="0" w:type="auto"/>
            <w:vAlign w:val="center"/>
            <w:hideMark/>
          </w:tcPr>
          <w:p w14:paraId="40C58FB1"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Liderazgo regional en gobernanza</w:t>
            </w:r>
          </w:p>
        </w:tc>
        <w:tc>
          <w:tcPr>
            <w:tcW w:w="0" w:type="auto"/>
            <w:vAlign w:val="center"/>
            <w:hideMark/>
          </w:tcPr>
          <w:p w14:paraId="76264BCB"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Escasa preparación institucional</w:t>
            </w:r>
          </w:p>
        </w:tc>
      </w:tr>
      <w:tr w:rsidR="00DC63F3" w:rsidRPr="006674D0" w14:paraId="1CE0D7A0" w14:textId="77777777">
        <w:trPr>
          <w:tblCellSpacing w:w="15" w:type="dxa"/>
        </w:trPr>
        <w:tc>
          <w:tcPr>
            <w:tcW w:w="0" w:type="auto"/>
            <w:vAlign w:val="center"/>
            <w:hideMark/>
          </w:tcPr>
          <w:p w14:paraId="6A34DEDA"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lastRenderedPageBreak/>
              <w:t>Cooperación regional</w:t>
            </w:r>
          </w:p>
        </w:tc>
        <w:tc>
          <w:tcPr>
            <w:tcW w:w="0" w:type="auto"/>
            <w:vAlign w:val="center"/>
            <w:hideMark/>
          </w:tcPr>
          <w:p w14:paraId="09564770"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Compartir conocimiento y capacidades</w:t>
            </w:r>
          </w:p>
        </w:tc>
        <w:tc>
          <w:tcPr>
            <w:tcW w:w="0" w:type="auto"/>
            <w:vAlign w:val="center"/>
            <w:hideMark/>
          </w:tcPr>
          <w:p w14:paraId="4DFF38ED"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Amplia legitimidad</w:t>
            </w:r>
          </w:p>
        </w:tc>
        <w:tc>
          <w:tcPr>
            <w:tcW w:w="0" w:type="auto"/>
            <w:vAlign w:val="center"/>
            <w:hideMark/>
          </w:tcPr>
          <w:p w14:paraId="5337C080" w14:textId="77777777" w:rsidR="00DC63F3" w:rsidRPr="006674D0" w:rsidRDefault="00DC63F3"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Mayor necesidad de proyectos conjuntos</w:t>
            </w:r>
          </w:p>
        </w:tc>
      </w:tr>
    </w:tbl>
    <w:p w14:paraId="023F75E2" w14:textId="058E8807" w:rsidR="00DC63F3" w:rsidRPr="006674D0" w:rsidRDefault="00DC63F3"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 xml:space="preserve">Comentario crítico </w:t>
      </w:r>
    </w:p>
    <w:p w14:paraId="579A06BD"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El análisis de las estrategias desarrolladas por la CEPAL entre 2021 y 2026 permite concluir que la institución ha logrado construir un marco conceptual sólido y coherente para enfrentar los desafíos del desarrollo regional. Su principal fortaleza radica en la capacidad para integrar educación, ciencia, tecnología, innovación, transformación digital y desarrollo productivo dentro de una misma visión estratégica.</w:t>
      </w:r>
    </w:p>
    <w:p w14:paraId="4B015DDF" w14:textId="77777777" w:rsidR="00DC63F3" w:rsidRPr="006674D0" w:rsidRDefault="00DC63F3"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No obstante, también se identifican áreas de mejora. La CEPAL podría fortalecer el acompañamiento a los países mediante metodologías de implementación, sistemas de monitoreo con indicadores comparables y espacios permanentes de aprendizaje entre pares. Asimismo, sería conveniente profundizar en temas como la gobernanza de las instituciones de educación superior, la evaluación del impacto de las políticas de CTI y la incorporación de la inteligencia artificial en los procesos educativos y de investigación.</w:t>
      </w:r>
    </w:p>
    <w:p w14:paraId="1C84507C" w14:textId="77777777" w:rsidR="00A80BA4" w:rsidRPr="006674D0" w:rsidRDefault="00A80BA4"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6. Programas, proyectos y acciones desarrollados por la CEPAL (2021–2026)</w:t>
      </w:r>
    </w:p>
    <w:p w14:paraId="1B1069AF"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 diferencia de organismos multilaterales financieros como el Banco Interamericano de Desarrollo (BID), el Banco Mundial o la CAF, la CEPAL no ejecuta grandes programas de inversión ni financia directamente proyectos de infraestructura educativa o científica. Su principal contribución radica en la </w:t>
      </w:r>
      <w:r w:rsidRPr="006674D0">
        <w:rPr>
          <w:rFonts w:eastAsia="Times New Roman" w:cs="Times New Roman"/>
          <w:b/>
          <w:bCs/>
          <w:kern w:val="0"/>
          <w:lang w:eastAsia="es-CO"/>
          <w14:ligatures w14:val="none"/>
        </w:rPr>
        <w:t>generación de conocimiento, la asistencia técnica, la formulación de políticas públicas, la producción de estadísticas, el fortalecimiento de capacidades institucionales y la promoción de la cooperación regional</w:t>
      </w:r>
      <w:r w:rsidRPr="006674D0">
        <w:rPr>
          <w:rFonts w:eastAsia="Times New Roman" w:cs="Times New Roman"/>
          <w:kern w:val="0"/>
          <w:lang w:eastAsia="es-CO"/>
          <w14:ligatures w14:val="none"/>
        </w:rPr>
        <w:t>.</w:t>
      </w:r>
    </w:p>
    <w:p w14:paraId="5FB320BC"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Durante el período 2021–2026, estas funciones adquirieron una relevancia especial debido a los desafíos derivados de la pandemia, la aceleración de la transformación digital y la necesidad de fortalecer los sistemas nacionales de innovación. La CEPAL actuó como un articulador de agendas regionales, promoviendo consensos y apoyando a los gobiernos en el diseño de estrategias para enfrentar estos retos.</w:t>
      </w:r>
    </w:p>
    <w:p w14:paraId="545D64A6" w14:textId="77777777" w:rsidR="00A80BA4" w:rsidRPr="006674D0" w:rsidRDefault="00A80BA4"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6.1 Recuperación y transformación de los sistemas educativos</w:t>
      </w:r>
    </w:p>
    <w:p w14:paraId="1DEB25AC"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Tras la pandemia, la CEPAL impulsó un conjunto de acciones orientadas a la recuperación de los sistemas educativos de América Latina y el Caribe. Estas iniciativas se desarrollaron en coordinación con otros organismos internacionales, especialmente la UNESCO, la OEI y UNICEF, y buscaron no solo restablecer la presencialidad, sino también promover transformaciones estructurales.</w:t>
      </w:r>
    </w:p>
    <w:p w14:paraId="61110A81"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Las principales líneas de acción fueron:</w:t>
      </w:r>
    </w:p>
    <w:p w14:paraId="65CCDA97" w14:textId="77777777" w:rsidR="00A80BA4" w:rsidRPr="006674D0" w:rsidRDefault="00A80BA4" w:rsidP="006674D0">
      <w:pPr>
        <w:numPr>
          <w:ilvl w:val="0"/>
          <w:numId w:val="19"/>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elaboración de diagnósticos regionales sobre las pérdidas de aprendizaje; </w:t>
      </w:r>
    </w:p>
    <w:p w14:paraId="7EEAC9FD" w14:textId="77777777" w:rsidR="00A80BA4" w:rsidRPr="006674D0" w:rsidRDefault="00A80BA4" w:rsidP="006674D0">
      <w:pPr>
        <w:numPr>
          <w:ilvl w:val="0"/>
          <w:numId w:val="19"/>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apoyo técnico para el diseño de políticas de recuperación educativa; </w:t>
      </w:r>
    </w:p>
    <w:p w14:paraId="1053E7C6" w14:textId="77777777" w:rsidR="00A80BA4" w:rsidRPr="006674D0" w:rsidRDefault="00A80BA4" w:rsidP="006674D0">
      <w:pPr>
        <w:numPr>
          <w:ilvl w:val="0"/>
          <w:numId w:val="19"/>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lastRenderedPageBreak/>
        <w:t xml:space="preserve">recomendaciones para fortalecer la permanencia escolar; </w:t>
      </w:r>
    </w:p>
    <w:p w14:paraId="7DEF49F4" w14:textId="77777777" w:rsidR="00A80BA4" w:rsidRPr="006674D0" w:rsidRDefault="00A80BA4" w:rsidP="006674D0">
      <w:pPr>
        <w:numPr>
          <w:ilvl w:val="0"/>
          <w:numId w:val="19"/>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análisis de las brechas digitales y territoriales; </w:t>
      </w:r>
    </w:p>
    <w:p w14:paraId="5FF50A3A" w14:textId="77777777" w:rsidR="00A80BA4" w:rsidRPr="006674D0" w:rsidRDefault="00A80BA4" w:rsidP="006674D0">
      <w:pPr>
        <w:numPr>
          <w:ilvl w:val="0"/>
          <w:numId w:val="19"/>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estudios sobre el bienestar socioemocional de estudiantes y docentes; </w:t>
      </w:r>
    </w:p>
    <w:p w14:paraId="5696452F" w14:textId="77777777" w:rsidR="00A80BA4" w:rsidRPr="006674D0" w:rsidRDefault="00A80BA4" w:rsidP="006674D0">
      <w:pPr>
        <w:numPr>
          <w:ilvl w:val="0"/>
          <w:numId w:val="19"/>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promoción de sistemas de información para el seguimiento de los aprendizajes. </w:t>
      </w:r>
    </w:p>
    <w:p w14:paraId="5DE90E6A"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b/>
          <w:bCs/>
          <w:kern w:val="0"/>
          <w:lang w:eastAsia="es-CO"/>
          <w14:ligatures w14:val="none"/>
        </w:rPr>
        <w:t>Valoración crítica.</w:t>
      </w:r>
      <w:r w:rsidRPr="006674D0">
        <w:rPr>
          <w:rFonts w:eastAsia="Times New Roman" w:cs="Times New Roman"/>
          <w:kern w:val="0"/>
          <w:lang w:eastAsia="es-CO"/>
          <w14:ligatures w14:val="none"/>
        </w:rPr>
        <w:t xml:space="preserve"> La CEPAL aportó evidencia robusta para orientar la formulación de políticas públicas. Sin embargo, la implementación de estas recomendaciones dependió de la capacidad institucional y fiscal de cada país, lo que generó resultados desiguales en la región.</w:t>
      </w:r>
    </w:p>
    <w:p w14:paraId="76D2A5D8" w14:textId="77777777" w:rsidR="00A80BA4" w:rsidRPr="006674D0" w:rsidRDefault="00A80BA4"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6.2 Fortalecimiento de la educación superior</w:t>
      </w:r>
    </w:p>
    <w:p w14:paraId="0A314B7B"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CEPAL reafirmó el papel estratégico de las instituciones de educación superior como motores del desarrollo sostenible y de la economía del conocimiento. Aunque no financia directamente a las universidades, promovió estudios, espacios de diálogo y recomendaciones para fortalecer sus capacidades.</w:t>
      </w:r>
    </w:p>
    <w:p w14:paraId="2029527A"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Entre las acciones más destacadas se encuentran:</w:t>
      </w:r>
    </w:p>
    <w:p w14:paraId="6C4DCCE9" w14:textId="77777777" w:rsidR="00A80BA4" w:rsidRPr="006674D0" w:rsidRDefault="00A80BA4" w:rsidP="006674D0">
      <w:pPr>
        <w:numPr>
          <w:ilvl w:val="0"/>
          <w:numId w:val="2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elaboración de análisis sobre el papel de las universidades en la transformación productiva; </w:t>
      </w:r>
    </w:p>
    <w:p w14:paraId="7FBB087E" w14:textId="77777777" w:rsidR="00A80BA4" w:rsidRPr="006674D0" w:rsidRDefault="00A80BA4" w:rsidP="006674D0">
      <w:pPr>
        <w:numPr>
          <w:ilvl w:val="0"/>
          <w:numId w:val="2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promoción de la cooperación académica regional; </w:t>
      </w:r>
    </w:p>
    <w:p w14:paraId="4541C1BC" w14:textId="77777777" w:rsidR="00A80BA4" w:rsidRPr="006674D0" w:rsidRDefault="00A80BA4" w:rsidP="006674D0">
      <w:pPr>
        <w:numPr>
          <w:ilvl w:val="0"/>
          <w:numId w:val="2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impulso a la internacionalización de la educación superior; </w:t>
      </w:r>
    </w:p>
    <w:p w14:paraId="06B21BCC" w14:textId="77777777" w:rsidR="00A80BA4" w:rsidRPr="006674D0" w:rsidRDefault="00A80BA4" w:rsidP="006674D0">
      <w:pPr>
        <w:numPr>
          <w:ilvl w:val="0"/>
          <w:numId w:val="2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fortalecimiento de la investigación interdisciplinaria; </w:t>
      </w:r>
    </w:p>
    <w:p w14:paraId="79E1140F" w14:textId="77777777" w:rsidR="00A80BA4" w:rsidRPr="006674D0" w:rsidRDefault="00A80BA4" w:rsidP="006674D0">
      <w:pPr>
        <w:numPr>
          <w:ilvl w:val="0"/>
          <w:numId w:val="2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recomendaciones para mejorar la vinculación entre universidades, empresas y gobiernos; </w:t>
      </w:r>
    </w:p>
    <w:p w14:paraId="4ACB7112" w14:textId="77777777" w:rsidR="00A80BA4" w:rsidRPr="006674D0" w:rsidRDefault="00A80BA4" w:rsidP="006674D0">
      <w:pPr>
        <w:numPr>
          <w:ilvl w:val="0"/>
          <w:numId w:val="2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difusión de experiencias de innovación universitaria. </w:t>
      </w:r>
    </w:p>
    <w:p w14:paraId="79BD8F7C"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CEPAL también enfatizó la necesidad de que las universidades amplíen su contribución al desarrollo territorial, participando activamente en ecosistemas regionales de innovación y en la formulación de políticas públicas.</w:t>
      </w:r>
    </w:p>
    <w:p w14:paraId="783680FA"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b/>
          <w:bCs/>
          <w:kern w:val="0"/>
          <w:lang w:eastAsia="es-CO"/>
          <w14:ligatures w14:val="none"/>
        </w:rPr>
        <w:t>Comentario crítico.</w:t>
      </w:r>
      <w:r w:rsidRPr="006674D0">
        <w:rPr>
          <w:rFonts w:eastAsia="Times New Roman" w:cs="Times New Roman"/>
          <w:kern w:val="0"/>
          <w:lang w:eastAsia="es-CO"/>
          <w14:ligatures w14:val="none"/>
        </w:rPr>
        <w:t xml:space="preserve"> Aunque la CEPAL reconoce el valor estratégico de la educación superior, sus análisis podrían profundizar en temas como la gobernanza universitaria, la transformación curricular, los modelos de financiamiento y la evaluación del impacto social de las universidades, aspectos fundamentales para consolidar instituciones más innovadoras y pertinentes.</w:t>
      </w:r>
    </w:p>
    <w:p w14:paraId="1A54678C" w14:textId="77777777" w:rsidR="00A80BA4" w:rsidRPr="006674D0" w:rsidRDefault="00A80BA4"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6.3 Promoción de la ciencia, la tecnología y la innovación (CTI)</w:t>
      </w:r>
    </w:p>
    <w:p w14:paraId="331534D6"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Uno de los ejes más sólidos de la acción de la CEPAL durante el período analizado fue el fortalecimiento de las capacidades regionales en ciencia, tecnología e innovación.</w:t>
      </w:r>
    </w:p>
    <w:p w14:paraId="4F98BA73"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Las principales acciones incluyeron:</w:t>
      </w:r>
    </w:p>
    <w:p w14:paraId="3135BD46" w14:textId="77777777" w:rsidR="00A80BA4" w:rsidRPr="006674D0" w:rsidRDefault="00A80BA4" w:rsidP="006674D0">
      <w:pPr>
        <w:numPr>
          <w:ilvl w:val="0"/>
          <w:numId w:val="2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elaboración de estudios comparados sobre inversión en I+D; </w:t>
      </w:r>
    </w:p>
    <w:p w14:paraId="75AAE4B1" w14:textId="77777777" w:rsidR="00A80BA4" w:rsidRPr="006674D0" w:rsidRDefault="00A80BA4" w:rsidP="006674D0">
      <w:pPr>
        <w:numPr>
          <w:ilvl w:val="0"/>
          <w:numId w:val="2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análisis de los sistemas nacionales de innovación; </w:t>
      </w:r>
    </w:p>
    <w:p w14:paraId="38145855" w14:textId="77777777" w:rsidR="00A80BA4" w:rsidRPr="006674D0" w:rsidRDefault="00A80BA4" w:rsidP="006674D0">
      <w:pPr>
        <w:numPr>
          <w:ilvl w:val="0"/>
          <w:numId w:val="2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lastRenderedPageBreak/>
        <w:t xml:space="preserve">propuestas para fortalecer la gobernanza de la ciencia y la tecnología; </w:t>
      </w:r>
    </w:p>
    <w:p w14:paraId="7F8D7C6F" w14:textId="77777777" w:rsidR="00A80BA4" w:rsidRPr="006674D0" w:rsidRDefault="00A80BA4" w:rsidP="006674D0">
      <w:pPr>
        <w:numPr>
          <w:ilvl w:val="0"/>
          <w:numId w:val="2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promoción de la cooperación científica regional; </w:t>
      </w:r>
    </w:p>
    <w:p w14:paraId="71EB9A12" w14:textId="77777777" w:rsidR="00A80BA4" w:rsidRPr="006674D0" w:rsidRDefault="00A80BA4" w:rsidP="006674D0">
      <w:pPr>
        <w:numPr>
          <w:ilvl w:val="0"/>
          <w:numId w:val="2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difusión de indicadores comparables de CTI; </w:t>
      </w:r>
    </w:p>
    <w:p w14:paraId="7682862B" w14:textId="77777777" w:rsidR="00A80BA4" w:rsidRPr="006674D0" w:rsidRDefault="00A80BA4" w:rsidP="006674D0">
      <w:pPr>
        <w:numPr>
          <w:ilvl w:val="0"/>
          <w:numId w:val="2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recomendaciones para incrementar la participación del sector privado en la innovación. </w:t>
      </w:r>
    </w:p>
    <w:p w14:paraId="0862138A"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Asimismo, la CEPAL insistió en que el incremento de la inversión en investigación y desarrollo debe acompañarse de políticas que fomenten la transferencia tecnológica, la protección de la propiedad intelectual y la creación de empresas de base tecnológica.</w:t>
      </w:r>
    </w:p>
    <w:p w14:paraId="3594489C"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b/>
          <w:bCs/>
          <w:kern w:val="0"/>
          <w:lang w:eastAsia="es-CO"/>
          <w14:ligatures w14:val="none"/>
        </w:rPr>
        <w:t>Valoración crítica.</w:t>
      </w:r>
      <w:r w:rsidRPr="006674D0">
        <w:rPr>
          <w:rFonts w:eastAsia="Times New Roman" w:cs="Times New Roman"/>
          <w:kern w:val="0"/>
          <w:lang w:eastAsia="es-CO"/>
          <w14:ligatures w14:val="none"/>
        </w:rPr>
        <w:t xml:space="preserve"> La CEPAL ha contribuido significativamente al debate sobre la necesidad de fortalecer los sistemas nacionales de innovación. Sin embargo, aún existe un margen para desarrollar metodologías que permitan evaluar el impacto de estas políticas en términos de productividad, empleo de alta cualificación y diversificación económica.</w:t>
      </w:r>
    </w:p>
    <w:p w14:paraId="1940BB5C" w14:textId="77777777" w:rsidR="00A80BA4" w:rsidRPr="006674D0" w:rsidRDefault="00A80BA4"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6.4 Impulso a la transformación digital</w:t>
      </w:r>
    </w:p>
    <w:p w14:paraId="636086A5"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Durante los últimos cinco años, la CEPAL consolidó una agenda regional para acelerar la transformación digital, articulada principalmente a través de la Agenda Digital para América Latina y el Caribe (</w:t>
      </w:r>
      <w:proofErr w:type="spellStart"/>
      <w:r w:rsidRPr="006674D0">
        <w:rPr>
          <w:rFonts w:eastAsia="Times New Roman" w:cs="Times New Roman"/>
          <w:kern w:val="0"/>
          <w:lang w:eastAsia="es-CO"/>
          <w14:ligatures w14:val="none"/>
        </w:rPr>
        <w:t>eLAC</w:t>
      </w:r>
      <w:proofErr w:type="spellEnd"/>
      <w:r w:rsidRPr="006674D0">
        <w:rPr>
          <w:rFonts w:eastAsia="Times New Roman" w:cs="Times New Roman"/>
          <w:kern w:val="0"/>
          <w:lang w:eastAsia="es-CO"/>
          <w14:ligatures w14:val="none"/>
        </w:rPr>
        <w:t>).</w:t>
      </w:r>
    </w:p>
    <w:p w14:paraId="091A5A10"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Las acciones más relevantes fueron:</w:t>
      </w:r>
    </w:p>
    <w:p w14:paraId="52FDBD6D" w14:textId="77777777" w:rsidR="00A80BA4" w:rsidRPr="006674D0" w:rsidRDefault="00A80BA4" w:rsidP="006674D0">
      <w:pPr>
        <w:numPr>
          <w:ilvl w:val="0"/>
          <w:numId w:val="2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apoyo al diseño de estrategias nacionales de transformación digital; </w:t>
      </w:r>
    </w:p>
    <w:p w14:paraId="6B58DF7A" w14:textId="77777777" w:rsidR="00A80BA4" w:rsidRPr="006674D0" w:rsidRDefault="00A80BA4" w:rsidP="006674D0">
      <w:pPr>
        <w:numPr>
          <w:ilvl w:val="0"/>
          <w:numId w:val="2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elaboración de diagnósticos sobre conectividad e infraestructura digital; </w:t>
      </w:r>
    </w:p>
    <w:p w14:paraId="4B824634" w14:textId="77777777" w:rsidR="00A80BA4" w:rsidRPr="006674D0" w:rsidRDefault="00A80BA4" w:rsidP="006674D0">
      <w:pPr>
        <w:numPr>
          <w:ilvl w:val="0"/>
          <w:numId w:val="2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promoción de competencias digitales para estudiantes y docentes; </w:t>
      </w:r>
    </w:p>
    <w:p w14:paraId="5FCC0E88" w14:textId="77777777" w:rsidR="00A80BA4" w:rsidRPr="006674D0" w:rsidRDefault="00A80BA4" w:rsidP="006674D0">
      <w:pPr>
        <w:numPr>
          <w:ilvl w:val="0"/>
          <w:numId w:val="2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fortalecimiento del gobierno digital; </w:t>
      </w:r>
    </w:p>
    <w:p w14:paraId="325668D9" w14:textId="77777777" w:rsidR="00A80BA4" w:rsidRPr="006674D0" w:rsidRDefault="00A80BA4" w:rsidP="006674D0">
      <w:pPr>
        <w:numPr>
          <w:ilvl w:val="0"/>
          <w:numId w:val="2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recomendaciones para la regulación de la economía digital; </w:t>
      </w:r>
    </w:p>
    <w:p w14:paraId="380126D2" w14:textId="77777777" w:rsidR="00A80BA4" w:rsidRPr="006674D0" w:rsidRDefault="00A80BA4" w:rsidP="006674D0">
      <w:pPr>
        <w:numPr>
          <w:ilvl w:val="0"/>
          <w:numId w:val="2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análisis sobre inteligencia artificial, ciberseguridad y protección de datos. </w:t>
      </w:r>
    </w:p>
    <w:p w14:paraId="1F3B25E6"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Comisión también promovió la cooperación entre países para compartir experiencias en digitalización de servicios públicos y educación virtual.</w:t>
      </w:r>
    </w:p>
    <w:p w14:paraId="3B29B9B4"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b/>
          <w:bCs/>
          <w:kern w:val="0"/>
          <w:lang w:eastAsia="es-CO"/>
          <w14:ligatures w14:val="none"/>
        </w:rPr>
        <w:t>Comentario crítico.</w:t>
      </w:r>
      <w:r w:rsidRPr="006674D0">
        <w:rPr>
          <w:rFonts w:eastAsia="Times New Roman" w:cs="Times New Roman"/>
          <w:kern w:val="0"/>
          <w:lang w:eastAsia="es-CO"/>
          <w14:ligatures w14:val="none"/>
        </w:rPr>
        <w:t xml:space="preserve"> La agenda digital impulsada por la CEPAL ha sido oportuna y pertinente. Sin embargo, la velocidad del cambio tecnológico exige una actualización permanente de las políticas y una mayor articulación con el sector productivo para responder a las nuevas demandas de competencias laborales.</w:t>
      </w:r>
    </w:p>
    <w:p w14:paraId="2895C3DC" w14:textId="77777777" w:rsidR="00A80BA4" w:rsidRPr="006674D0" w:rsidRDefault="00A80BA4"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6.5 Inteligencia artificial y gobernanza tecnológica</w:t>
      </w:r>
    </w:p>
    <w:p w14:paraId="1487980E"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 partir de 2023, la inteligencia artificial ocupó un lugar central en las publicaciones y foros promovidos por la CEPAL.</w:t>
      </w:r>
    </w:p>
    <w:p w14:paraId="30E10F5A"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Las principales líneas de trabajo incluyeron:</w:t>
      </w:r>
    </w:p>
    <w:p w14:paraId="4516C75D" w14:textId="77777777" w:rsidR="00A80BA4" w:rsidRPr="006674D0" w:rsidRDefault="00A80BA4" w:rsidP="006674D0">
      <w:pPr>
        <w:numPr>
          <w:ilvl w:val="0"/>
          <w:numId w:val="2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promoción de una inteligencia artificial ética y centrada en las personas; </w:t>
      </w:r>
    </w:p>
    <w:p w14:paraId="15EB0232" w14:textId="77777777" w:rsidR="00A80BA4" w:rsidRPr="006674D0" w:rsidRDefault="00A80BA4" w:rsidP="006674D0">
      <w:pPr>
        <w:numPr>
          <w:ilvl w:val="0"/>
          <w:numId w:val="2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análisis de los impactos de la IA sobre el empleo y la productividad; </w:t>
      </w:r>
    </w:p>
    <w:p w14:paraId="73BFEF9C" w14:textId="77777777" w:rsidR="00A80BA4" w:rsidRPr="006674D0" w:rsidRDefault="00A80BA4" w:rsidP="006674D0">
      <w:pPr>
        <w:numPr>
          <w:ilvl w:val="0"/>
          <w:numId w:val="2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lastRenderedPageBreak/>
        <w:t xml:space="preserve">recomendaciones para fortalecer capacidades regulatorias; </w:t>
      </w:r>
    </w:p>
    <w:p w14:paraId="25581D66" w14:textId="77777777" w:rsidR="00A80BA4" w:rsidRPr="006674D0" w:rsidRDefault="00A80BA4" w:rsidP="006674D0">
      <w:pPr>
        <w:numPr>
          <w:ilvl w:val="0"/>
          <w:numId w:val="2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impulso a la formación de talento especializado; </w:t>
      </w:r>
    </w:p>
    <w:p w14:paraId="406C90EB" w14:textId="77777777" w:rsidR="00A80BA4" w:rsidRPr="006674D0" w:rsidRDefault="00A80BA4" w:rsidP="006674D0">
      <w:pPr>
        <w:numPr>
          <w:ilvl w:val="0"/>
          <w:numId w:val="2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reflexión sobre el uso de la IA en educación, salud y administración pública. </w:t>
      </w:r>
    </w:p>
    <w:p w14:paraId="2000706C"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CEPAL advirtió que, sin políticas adecuadas, la inteligencia artificial podría ampliar las desigualdades existentes entre países y grupos sociales.</w:t>
      </w:r>
    </w:p>
    <w:p w14:paraId="4BE5AC09"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b/>
          <w:bCs/>
          <w:kern w:val="0"/>
          <w:lang w:eastAsia="es-CO"/>
          <w14:ligatures w14:val="none"/>
        </w:rPr>
        <w:t>Valoración crítica.</w:t>
      </w:r>
      <w:r w:rsidRPr="006674D0">
        <w:rPr>
          <w:rFonts w:eastAsia="Times New Roman" w:cs="Times New Roman"/>
          <w:kern w:val="0"/>
          <w:lang w:eastAsia="es-CO"/>
          <w14:ligatures w14:val="none"/>
        </w:rPr>
        <w:t xml:space="preserve"> La CEPAL ha mostrado liderazgo regional en la discusión sobre la gobernanza de la inteligencia artificial. No obstante, aún es necesario avanzar hacia orientaciones más específicas para integrar la IA en los procesos educativos, la investigación científica y la innovación empresarial, así como fortalecer las capacidades institucionales para su regulación.</w:t>
      </w:r>
    </w:p>
    <w:p w14:paraId="0726EAD2" w14:textId="77777777" w:rsidR="00A80BA4" w:rsidRPr="006674D0" w:rsidRDefault="00A80BA4"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6.6 Fortalecimiento de los sistemas de información y estadísticas</w:t>
      </w:r>
    </w:p>
    <w:p w14:paraId="7B0B2DB0"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producción de estadísticas comparables constituye una de las funciones tradicionales de la CEPAL y uno de sus principales aportes al desarrollo regional.</w:t>
      </w:r>
    </w:p>
    <w:p w14:paraId="76E4AA00"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Durante el período analizado, la Comisión fortaleció:</w:t>
      </w:r>
    </w:p>
    <w:p w14:paraId="3D5AC5F3" w14:textId="77777777" w:rsidR="00A80BA4" w:rsidRPr="006674D0" w:rsidRDefault="00A80BA4" w:rsidP="006674D0">
      <w:pPr>
        <w:numPr>
          <w:ilvl w:val="0"/>
          <w:numId w:val="2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indicadores de educación; </w:t>
      </w:r>
    </w:p>
    <w:p w14:paraId="5E68D02B" w14:textId="77777777" w:rsidR="00A80BA4" w:rsidRPr="006674D0" w:rsidRDefault="00A80BA4" w:rsidP="006674D0">
      <w:pPr>
        <w:numPr>
          <w:ilvl w:val="0"/>
          <w:numId w:val="2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estadísticas de ciencia, tecnología e innovación; </w:t>
      </w:r>
    </w:p>
    <w:p w14:paraId="7606FA1A" w14:textId="77777777" w:rsidR="00A80BA4" w:rsidRPr="006674D0" w:rsidRDefault="00A80BA4" w:rsidP="006674D0">
      <w:pPr>
        <w:numPr>
          <w:ilvl w:val="0"/>
          <w:numId w:val="2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bases de datos sobre transformación digital; </w:t>
      </w:r>
    </w:p>
    <w:p w14:paraId="04B5BAA6" w14:textId="77777777" w:rsidR="00A80BA4" w:rsidRPr="006674D0" w:rsidRDefault="00A80BA4" w:rsidP="006674D0">
      <w:pPr>
        <w:numPr>
          <w:ilvl w:val="0"/>
          <w:numId w:val="2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información sobre productividad; </w:t>
      </w:r>
    </w:p>
    <w:p w14:paraId="4AC627E1" w14:textId="77777777" w:rsidR="00A80BA4" w:rsidRPr="006674D0" w:rsidRDefault="00A80BA4" w:rsidP="006674D0">
      <w:pPr>
        <w:numPr>
          <w:ilvl w:val="0"/>
          <w:numId w:val="2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indicadores de desarrollo sostenible. </w:t>
      </w:r>
    </w:p>
    <w:p w14:paraId="2EF4B7B5"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Estas herramientas han permitido a los gobiernos contar con evidencia para diseñar y evaluar políticas públicas.</w:t>
      </w:r>
    </w:p>
    <w:p w14:paraId="7D3873D7"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b/>
          <w:bCs/>
          <w:kern w:val="0"/>
          <w:lang w:eastAsia="es-CO"/>
          <w14:ligatures w14:val="none"/>
        </w:rPr>
        <w:t>Comentario crítico.</w:t>
      </w:r>
      <w:r w:rsidRPr="006674D0">
        <w:rPr>
          <w:rFonts w:eastAsia="Times New Roman" w:cs="Times New Roman"/>
          <w:kern w:val="0"/>
          <w:lang w:eastAsia="es-CO"/>
          <w14:ligatures w14:val="none"/>
        </w:rPr>
        <w:t xml:space="preserve"> La calidad técnica de los sistemas de información desarrollados por la CEPAL es ampliamente reconocida. Sin embargo, persisten desafíos relacionados con la disponibilidad y actualización de datos en algunos países, así como con la necesidad de incorporar nuevos indicadores sobre inteligencia artificial, competencias digitales y transferencia tecnológica.</w:t>
      </w:r>
    </w:p>
    <w:p w14:paraId="7BE42D4F" w14:textId="77777777" w:rsidR="00A80BA4" w:rsidRPr="006674D0" w:rsidRDefault="00A80BA4"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6.7 Cooperación técnica y fortalecimiento institucional</w:t>
      </w:r>
    </w:p>
    <w:p w14:paraId="7BAB209D"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CEPAL continuó brindando asistencia técnica a los gobiernos mediante:</w:t>
      </w:r>
    </w:p>
    <w:p w14:paraId="6F0F1D0B" w14:textId="77777777" w:rsidR="00A80BA4" w:rsidRPr="006674D0" w:rsidRDefault="00A80BA4" w:rsidP="006674D0">
      <w:pPr>
        <w:numPr>
          <w:ilvl w:val="0"/>
          <w:numId w:val="2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asesorías para el diseño de políticas públicas; </w:t>
      </w:r>
    </w:p>
    <w:p w14:paraId="31DA327F" w14:textId="77777777" w:rsidR="00A80BA4" w:rsidRPr="006674D0" w:rsidRDefault="00A80BA4" w:rsidP="006674D0">
      <w:pPr>
        <w:numPr>
          <w:ilvl w:val="0"/>
          <w:numId w:val="2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capacitación de funcionarios; </w:t>
      </w:r>
    </w:p>
    <w:p w14:paraId="1AD00396" w14:textId="77777777" w:rsidR="00A80BA4" w:rsidRPr="006674D0" w:rsidRDefault="00A80BA4" w:rsidP="006674D0">
      <w:pPr>
        <w:numPr>
          <w:ilvl w:val="0"/>
          <w:numId w:val="2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organización de seminarios y foros regionales; </w:t>
      </w:r>
    </w:p>
    <w:p w14:paraId="392655FA" w14:textId="77777777" w:rsidR="00A80BA4" w:rsidRPr="006674D0" w:rsidRDefault="00A80BA4" w:rsidP="006674D0">
      <w:pPr>
        <w:numPr>
          <w:ilvl w:val="0"/>
          <w:numId w:val="2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elaboración de guías metodológicas; </w:t>
      </w:r>
    </w:p>
    <w:p w14:paraId="0EBD3269" w14:textId="77777777" w:rsidR="00A80BA4" w:rsidRPr="006674D0" w:rsidRDefault="00A80BA4" w:rsidP="006674D0">
      <w:pPr>
        <w:numPr>
          <w:ilvl w:val="0"/>
          <w:numId w:val="2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intercambio de buenas prácticas; </w:t>
      </w:r>
    </w:p>
    <w:p w14:paraId="0B43B0C7" w14:textId="77777777" w:rsidR="00A80BA4" w:rsidRPr="006674D0" w:rsidRDefault="00A80BA4" w:rsidP="006674D0">
      <w:pPr>
        <w:numPr>
          <w:ilvl w:val="0"/>
          <w:numId w:val="2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apoyo a procesos de planificación estratégica. </w:t>
      </w:r>
    </w:p>
    <w:p w14:paraId="3EE17279"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lastRenderedPageBreak/>
        <w:t>Este trabajo permitió fortalecer las capacidades institucionales de diversos países y facilitar la construcción de consensos regionales.</w:t>
      </w:r>
    </w:p>
    <w:p w14:paraId="69F15DED"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b/>
          <w:bCs/>
          <w:kern w:val="0"/>
          <w:lang w:eastAsia="es-CO"/>
          <w14:ligatures w14:val="none"/>
        </w:rPr>
        <w:t>Valoración crítica.</w:t>
      </w:r>
      <w:r w:rsidRPr="006674D0">
        <w:rPr>
          <w:rFonts w:eastAsia="Times New Roman" w:cs="Times New Roman"/>
          <w:kern w:val="0"/>
          <w:lang w:eastAsia="es-CO"/>
          <w14:ligatures w14:val="none"/>
        </w:rPr>
        <w:t xml:space="preserve"> La cooperación técnica de la CEPAL constituye uno de sus mayores activos. Sin embargo, sería deseable avanzar hacia mecanismos que permitan evaluar de forma más sistemática el impacto de esta asistencia en la calidad de las políticas públicas y en los resultados obtenidos.</w:t>
      </w:r>
    </w:p>
    <w:p w14:paraId="70D7A786" w14:textId="77777777" w:rsidR="00A80BA4" w:rsidRPr="006674D0" w:rsidRDefault="00A80BA4"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Cuadro sintético. Principales programas, proyectos y acciones (2021–2026)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92"/>
        <w:gridCol w:w="2729"/>
        <w:gridCol w:w="2178"/>
        <w:gridCol w:w="2139"/>
      </w:tblGrid>
      <w:tr w:rsidR="00A80BA4" w:rsidRPr="006674D0" w14:paraId="5505DE6B" w14:textId="77777777">
        <w:trPr>
          <w:tblHeader/>
          <w:tblCellSpacing w:w="15" w:type="dxa"/>
        </w:trPr>
        <w:tc>
          <w:tcPr>
            <w:tcW w:w="0" w:type="auto"/>
            <w:vAlign w:val="center"/>
            <w:hideMark/>
          </w:tcPr>
          <w:p w14:paraId="1C42B34C" w14:textId="77777777" w:rsidR="00A80BA4" w:rsidRPr="006674D0" w:rsidRDefault="00A80BA4" w:rsidP="006674D0">
            <w:pPr>
              <w:spacing w:after="0" w:line="240" w:lineRule="auto"/>
              <w:jc w:val="both"/>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Área</w:t>
            </w:r>
          </w:p>
        </w:tc>
        <w:tc>
          <w:tcPr>
            <w:tcW w:w="0" w:type="auto"/>
            <w:vAlign w:val="center"/>
            <w:hideMark/>
          </w:tcPr>
          <w:p w14:paraId="45E52893" w14:textId="77777777" w:rsidR="00A80BA4" w:rsidRPr="006674D0" w:rsidRDefault="00A80BA4" w:rsidP="006674D0">
            <w:pPr>
              <w:spacing w:after="0" w:line="240" w:lineRule="auto"/>
              <w:jc w:val="both"/>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Principales acciones</w:t>
            </w:r>
          </w:p>
        </w:tc>
        <w:tc>
          <w:tcPr>
            <w:tcW w:w="0" w:type="auto"/>
            <w:vAlign w:val="center"/>
            <w:hideMark/>
          </w:tcPr>
          <w:p w14:paraId="03527190" w14:textId="77777777" w:rsidR="00A80BA4" w:rsidRPr="006674D0" w:rsidRDefault="00A80BA4" w:rsidP="006674D0">
            <w:pPr>
              <w:spacing w:after="0" w:line="240" w:lineRule="auto"/>
              <w:jc w:val="both"/>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Aportes</w:t>
            </w:r>
          </w:p>
        </w:tc>
        <w:tc>
          <w:tcPr>
            <w:tcW w:w="0" w:type="auto"/>
            <w:vAlign w:val="center"/>
            <w:hideMark/>
          </w:tcPr>
          <w:p w14:paraId="0CDB52D8" w14:textId="77777777" w:rsidR="00A80BA4" w:rsidRPr="006674D0" w:rsidRDefault="00A80BA4" w:rsidP="006674D0">
            <w:pPr>
              <w:spacing w:after="0" w:line="240" w:lineRule="auto"/>
              <w:jc w:val="both"/>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Oportunidades de mejora</w:t>
            </w:r>
          </w:p>
        </w:tc>
      </w:tr>
      <w:tr w:rsidR="00A80BA4" w:rsidRPr="006674D0" w14:paraId="47CA793E" w14:textId="77777777">
        <w:trPr>
          <w:tblCellSpacing w:w="15" w:type="dxa"/>
        </w:trPr>
        <w:tc>
          <w:tcPr>
            <w:tcW w:w="0" w:type="auto"/>
            <w:vAlign w:val="center"/>
            <w:hideMark/>
          </w:tcPr>
          <w:p w14:paraId="5D32974F"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Educación</w:t>
            </w:r>
          </w:p>
        </w:tc>
        <w:tc>
          <w:tcPr>
            <w:tcW w:w="0" w:type="auto"/>
            <w:vAlign w:val="center"/>
            <w:hideMark/>
          </w:tcPr>
          <w:p w14:paraId="78E3AA8E"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Diagnósticos, recomendaciones y recuperación de aprendizajes</w:t>
            </w:r>
          </w:p>
        </w:tc>
        <w:tc>
          <w:tcPr>
            <w:tcW w:w="0" w:type="auto"/>
            <w:vAlign w:val="center"/>
            <w:hideMark/>
          </w:tcPr>
          <w:p w14:paraId="51130943"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Evidencia para políticas públicas</w:t>
            </w:r>
          </w:p>
        </w:tc>
        <w:tc>
          <w:tcPr>
            <w:tcW w:w="0" w:type="auto"/>
            <w:vAlign w:val="center"/>
            <w:hideMark/>
          </w:tcPr>
          <w:p w14:paraId="62573CF5"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Mayor seguimiento a la implementación</w:t>
            </w:r>
          </w:p>
        </w:tc>
      </w:tr>
      <w:tr w:rsidR="00A80BA4" w:rsidRPr="006674D0" w14:paraId="12179684" w14:textId="77777777">
        <w:trPr>
          <w:tblCellSpacing w:w="15" w:type="dxa"/>
        </w:trPr>
        <w:tc>
          <w:tcPr>
            <w:tcW w:w="0" w:type="auto"/>
            <w:vAlign w:val="center"/>
            <w:hideMark/>
          </w:tcPr>
          <w:p w14:paraId="3D9A0B20"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Educación superior</w:t>
            </w:r>
          </w:p>
        </w:tc>
        <w:tc>
          <w:tcPr>
            <w:tcW w:w="0" w:type="auto"/>
            <w:vAlign w:val="center"/>
            <w:hideMark/>
          </w:tcPr>
          <w:p w14:paraId="59A9AF07"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Estudios, cooperación académica y fortalecimiento institucional</w:t>
            </w:r>
          </w:p>
        </w:tc>
        <w:tc>
          <w:tcPr>
            <w:tcW w:w="0" w:type="auto"/>
            <w:vAlign w:val="center"/>
            <w:hideMark/>
          </w:tcPr>
          <w:p w14:paraId="5DAC88AA"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Reconocimiento del papel estratégico de las universidades</w:t>
            </w:r>
          </w:p>
        </w:tc>
        <w:tc>
          <w:tcPr>
            <w:tcW w:w="0" w:type="auto"/>
            <w:vAlign w:val="center"/>
            <w:hideMark/>
          </w:tcPr>
          <w:p w14:paraId="3F03DBE4"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Mayor énfasis en gobernanza, financiamiento y calidad</w:t>
            </w:r>
          </w:p>
        </w:tc>
      </w:tr>
      <w:tr w:rsidR="00A80BA4" w:rsidRPr="006674D0" w14:paraId="76092CC1" w14:textId="77777777">
        <w:trPr>
          <w:tblCellSpacing w:w="15" w:type="dxa"/>
        </w:trPr>
        <w:tc>
          <w:tcPr>
            <w:tcW w:w="0" w:type="auto"/>
            <w:vAlign w:val="center"/>
            <w:hideMark/>
          </w:tcPr>
          <w:p w14:paraId="2DF613E1"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Ciencia, tecnología e innovación</w:t>
            </w:r>
          </w:p>
        </w:tc>
        <w:tc>
          <w:tcPr>
            <w:tcW w:w="0" w:type="auto"/>
            <w:vAlign w:val="center"/>
            <w:hideMark/>
          </w:tcPr>
          <w:p w14:paraId="546574FB"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Estudios comparados, indicadores y fortalecimiento de sistemas nacionales de innovación</w:t>
            </w:r>
          </w:p>
        </w:tc>
        <w:tc>
          <w:tcPr>
            <w:tcW w:w="0" w:type="auto"/>
            <w:vAlign w:val="center"/>
            <w:hideMark/>
          </w:tcPr>
          <w:p w14:paraId="53459DA5"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Visión integral de la CTI</w:t>
            </w:r>
          </w:p>
        </w:tc>
        <w:tc>
          <w:tcPr>
            <w:tcW w:w="0" w:type="auto"/>
            <w:vAlign w:val="center"/>
            <w:hideMark/>
          </w:tcPr>
          <w:p w14:paraId="30BDA254"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Evaluación del impacto de las políticas</w:t>
            </w:r>
          </w:p>
        </w:tc>
      </w:tr>
      <w:tr w:rsidR="00A80BA4" w:rsidRPr="006674D0" w14:paraId="68F37326" w14:textId="77777777">
        <w:trPr>
          <w:tblCellSpacing w:w="15" w:type="dxa"/>
        </w:trPr>
        <w:tc>
          <w:tcPr>
            <w:tcW w:w="0" w:type="auto"/>
            <w:vAlign w:val="center"/>
            <w:hideMark/>
          </w:tcPr>
          <w:p w14:paraId="5906E9D0"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Transformación digital</w:t>
            </w:r>
          </w:p>
        </w:tc>
        <w:tc>
          <w:tcPr>
            <w:tcW w:w="0" w:type="auto"/>
            <w:vAlign w:val="center"/>
            <w:hideMark/>
          </w:tcPr>
          <w:p w14:paraId="7944BA95"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Agenda </w:t>
            </w:r>
            <w:proofErr w:type="spellStart"/>
            <w:r w:rsidRPr="006674D0">
              <w:rPr>
                <w:rFonts w:eastAsia="Times New Roman" w:cs="Times New Roman"/>
                <w:kern w:val="0"/>
                <w:lang w:eastAsia="es-CO"/>
                <w14:ligatures w14:val="none"/>
              </w:rPr>
              <w:t>eLAC</w:t>
            </w:r>
            <w:proofErr w:type="spellEnd"/>
            <w:r w:rsidRPr="006674D0">
              <w:rPr>
                <w:rFonts w:eastAsia="Times New Roman" w:cs="Times New Roman"/>
                <w:kern w:val="0"/>
                <w:lang w:eastAsia="es-CO"/>
                <w14:ligatures w14:val="none"/>
              </w:rPr>
              <w:t>, conectividad, competencias digitales</w:t>
            </w:r>
          </w:p>
        </w:tc>
        <w:tc>
          <w:tcPr>
            <w:tcW w:w="0" w:type="auto"/>
            <w:vAlign w:val="center"/>
            <w:hideMark/>
          </w:tcPr>
          <w:p w14:paraId="5CB6E727"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Liderazgo regional en cooperación digital</w:t>
            </w:r>
          </w:p>
        </w:tc>
        <w:tc>
          <w:tcPr>
            <w:tcW w:w="0" w:type="auto"/>
            <w:vAlign w:val="center"/>
            <w:hideMark/>
          </w:tcPr>
          <w:p w14:paraId="6FCEBB47"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Reducir brechas de implementación</w:t>
            </w:r>
          </w:p>
        </w:tc>
      </w:tr>
      <w:tr w:rsidR="00A80BA4" w:rsidRPr="006674D0" w14:paraId="6A9CEA94" w14:textId="77777777">
        <w:trPr>
          <w:tblCellSpacing w:w="15" w:type="dxa"/>
        </w:trPr>
        <w:tc>
          <w:tcPr>
            <w:tcW w:w="0" w:type="auto"/>
            <w:vAlign w:val="center"/>
            <w:hideMark/>
          </w:tcPr>
          <w:p w14:paraId="5E95696C"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Inteligencia artificial</w:t>
            </w:r>
          </w:p>
        </w:tc>
        <w:tc>
          <w:tcPr>
            <w:tcW w:w="0" w:type="auto"/>
            <w:vAlign w:val="center"/>
            <w:hideMark/>
          </w:tcPr>
          <w:p w14:paraId="24FA2E4D"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Gobernanza, ética y capacidades regulatorias</w:t>
            </w:r>
          </w:p>
        </w:tc>
        <w:tc>
          <w:tcPr>
            <w:tcW w:w="0" w:type="auto"/>
            <w:vAlign w:val="center"/>
            <w:hideMark/>
          </w:tcPr>
          <w:p w14:paraId="2CCF0030"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Referente regional en políticas de IA</w:t>
            </w:r>
          </w:p>
        </w:tc>
        <w:tc>
          <w:tcPr>
            <w:tcW w:w="0" w:type="auto"/>
            <w:vAlign w:val="center"/>
            <w:hideMark/>
          </w:tcPr>
          <w:p w14:paraId="1C46FE77"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Integración más profunda en educación e investigación</w:t>
            </w:r>
          </w:p>
        </w:tc>
      </w:tr>
      <w:tr w:rsidR="00A80BA4" w:rsidRPr="006674D0" w14:paraId="60F377C4" w14:textId="77777777">
        <w:trPr>
          <w:tblCellSpacing w:w="15" w:type="dxa"/>
        </w:trPr>
        <w:tc>
          <w:tcPr>
            <w:tcW w:w="0" w:type="auto"/>
            <w:vAlign w:val="center"/>
            <w:hideMark/>
          </w:tcPr>
          <w:p w14:paraId="20E01752"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Estadísticas</w:t>
            </w:r>
          </w:p>
        </w:tc>
        <w:tc>
          <w:tcPr>
            <w:tcW w:w="0" w:type="auto"/>
            <w:vAlign w:val="center"/>
            <w:hideMark/>
          </w:tcPr>
          <w:p w14:paraId="4FEB5950"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Indicadores regionales y bases de datos</w:t>
            </w:r>
          </w:p>
        </w:tc>
        <w:tc>
          <w:tcPr>
            <w:tcW w:w="0" w:type="auto"/>
            <w:vAlign w:val="center"/>
            <w:hideMark/>
          </w:tcPr>
          <w:p w14:paraId="12CE3891"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Soporte técnico para decisiones</w:t>
            </w:r>
          </w:p>
        </w:tc>
        <w:tc>
          <w:tcPr>
            <w:tcW w:w="0" w:type="auto"/>
            <w:vAlign w:val="center"/>
            <w:hideMark/>
          </w:tcPr>
          <w:p w14:paraId="0C5CD8BD"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Incorporar métricas emergentes</w:t>
            </w:r>
          </w:p>
        </w:tc>
      </w:tr>
      <w:tr w:rsidR="00A80BA4" w:rsidRPr="006674D0" w14:paraId="043F3883" w14:textId="77777777">
        <w:trPr>
          <w:tblCellSpacing w:w="15" w:type="dxa"/>
        </w:trPr>
        <w:tc>
          <w:tcPr>
            <w:tcW w:w="0" w:type="auto"/>
            <w:vAlign w:val="center"/>
            <w:hideMark/>
          </w:tcPr>
          <w:p w14:paraId="77468160"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Cooperación técnica</w:t>
            </w:r>
          </w:p>
        </w:tc>
        <w:tc>
          <w:tcPr>
            <w:tcW w:w="0" w:type="auto"/>
            <w:vAlign w:val="center"/>
            <w:hideMark/>
          </w:tcPr>
          <w:p w14:paraId="66DE44A5"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Asistencia, capacitación y fortalecimiento institucional</w:t>
            </w:r>
          </w:p>
        </w:tc>
        <w:tc>
          <w:tcPr>
            <w:tcW w:w="0" w:type="auto"/>
            <w:vAlign w:val="center"/>
            <w:hideMark/>
          </w:tcPr>
          <w:p w14:paraId="77FC690C"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Desarrollo de capacidades nacionales</w:t>
            </w:r>
          </w:p>
        </w:tc>
        <w:tc>
          <w:tcPr>
            <w:tcW w:w="0" w:type="auto"/>
            <w:vAlign w:val="center"/>
            <w:hideMark/>
          </w:tcPr>
          <w:p w14:paraId="2956DBE9" w14:textId="77777777" w:rsidR="00A80BA4" w:rsidRPr="006674D0" w:rsidRDefault="00A80BA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Medición de resultados e impactos</w:t>
            </w:r>
          </w:p>
        </w:tc>
      </w:tr>
    </w:tbl>
    <w:p w14:paraId="0EAEBC99" w14:textId="351B8163" w:rsidR="00A80BA4" w:rsidRPr="006674D0" w:rsidRDefault="00A80BA4"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 xml:space="preserve">Balance </w:t>
      </w:r>
    </w:p>
    <w:p w14:paraId="6085F406"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El análisis de los programas, proyectos y acciones desarrollados por la CEPAL entre 2021 y 2026 evidencia que su principal fortaleza radica en la generación de conocimiento, la cooperación técnica y la construcción de agendas regionales compartidas. La Comisión ha contribuido a posicionar la educación, la educación superior, la ciencia, la tecnología y la innovación como ejes centrales del desarrollo sostenible.</w:t>
      </w:r>
    </w:p>
    <w:p w14:paraId="0DEF7E19"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No obstante, su capacidad para transformar estas orientaciones en resultados concretos depende, en gran medida, del compromiso de los Estados miembros, de la disponibilidad de </w:t>
      </w:r>
      <w:r w:rsidRPr="006674D0">
        <w:rPr>
          <w:rFonts w:eastAsia="Times New Roman" w:cs="Times New Roman"/>
          <w:kern w:val="0"/>
          <w:lang w:eastAsia="es-CO"/>
          <w14:ligatures w14:val="none"/>
        </w:rPr>
        <w:lastRenderedPageBreak/>
        <w:t>recursos y de la coordinación con otros organismos internacionales y actores nacionales. Esta característica constituye tanto una fortaleza —por su capacidad de generar consensos— como una limitación, al no disponer de instrumentos financieros para impulsar directamente la implementación de sus recomendaciones.</w:t>
      </w:r>
    </w:p>
    <w:p w14:paraId="37C5387C" w14:textId="77777777" w:rsidR="00A80BA4" w:rsidRPr="006674D0" w:rsidRDefault="00A80BA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En consecuencia, el mayor desafío para los próximos años será fortalecer los mecanismos de seguimiento, evaluación e implementación de las políticas promovidas por la CEPAL, favoreciendo una mayor apropiación por parte de los gobiernos y de las instituciones de educación superior.</w:t>
      </w:r>
    </w:p>
    <w:p w14:paraId="04429A2E" w14:textId="77777777" w:rsidR="00D32C1A" w:rsidRPr="006674D0" w:rsidRDefault="00D32C1A"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7. Análisis crítico constructivo</w:t>
      </w:r>
    </w:p>
    <w:p w14:paraId="0A2194AE"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El análisis de las estrategias, programas y acciones desarrolladas por la CEPAL durante el período 2021–2026 permite concluir que la Comisión continúa siendo uno de los principales centros de pensamiento estratégico para América Latina y el Caribe. Su mayor fortaleza radica en la capacidad para anticipar tendencias, generar evidencia técnica y promover una visión regional de largo plazo.</w:t>
      </w:r>
    </w:p>
    <w:p w14:paraId="45519301"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No obstante, el contexto actual exige que la CEPAL evolucione desde una función predominantemente analítica hacia un papel más activo como articuladora de procesos de implementación, evaluación y aprendizaje colectivo. La rapidez de los cambios tecnológicos, las demandas de los sistemas educativos y la creciente competencia internacional por el conocimiento requieren mecanismos más ágiles de cooperación y acompañamiento a los países.</w:t>
      </w:r>
    </w:p>
    <w:p w14:paraId="65816541"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En este sentido, el análisis identifica avances significativos, pero también oportunidades claras para fortalecer el impacto de la institución.</w:t>
      </w:r>
    </w:p>
    <w:p w14:paraId="6245378B" w14:textId="77777777" w:rsidR="00D32C1A" w:rsidRPr="006674D0" w:rsidRDefault="00D32C1A"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7.1 Principales fortalezas</w:t>
      </w:r>
    </w:p>
    <w:p w14:paraId="1470BA59" w14:textId="77777777" w:rsidR="00D32C1A" w:rsidRPr="006674D0" w:rsidRDefault="00D32C1A"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a. Visión estratégica de largo plazo</w:t>
      </w:r>
    </w:p>
    <w:p w14:paraId="43A99C8F"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CEPAL mantiene una de las capacidades prospectivas más sólidas de la región. Sus análisis integran dimensiones económicas, sociales, ambientales y tecnológicas, permitiendo comprender la educación y la innovación como componentes de una estrategia de desarrollo sostenible.</w:t>
      </w:r>
    </w:p>
    <w:p w14:paraId="5CE7E494"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Esta visión evita enfoques sectoriales fragmentados y favorece la formulación de políticas públicas coherentes.</w:t>
      </w:r>
    </w:p>
    <w:p w14:paraId="6ACF20AB" w14:textId="77777777" w:rsidR="00D32C1A" w:rsidRPr="006674D0" w:rsidRDefault="00D32C1A"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b. Rigurosidad técnica</w:t>
      </w:r>
    </w:p>
    <w:p w14:paraId="27253563"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Los documentos publicados durante el período analizado presentan elevados estándares metodológicos y una utilización sistemática de evidencia estadística.</w:t>
      </w:r>
    </w:p>
    <w:p w14:paraId="597DD4C8"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producción de indicadores comparables constituye uno de los mayores aportes de la CEPAL para los gobiernos de la región.</w:t>
      </w:r>
    </w:p>
    <w:p w14:paraId="29520182" w14:textId="77777777" w:rsidR="00D32C1A" w:rsidRPr="006674D0" w:rsidRDefault="00D32C1A"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lastRenderedPageBreak/>
        <w:t>c. Legitimidad regional</w:t>
      </w:r>
    </w:p>
    <w:p w14:paraId="4A10B3CA"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 diferencia de otras organizaciones internacionales, la CEPAL posee una alta legitimidad política y técnica entre los países miembros.</w:t>
      </w:r>
    </w:p>
    <w:p w14:paraId="7DCE24DF"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Esta condición facilita el diálogo regional y la construcción de consensos sobre temas complejos como:</w:t>
      </w:r>
    </w:p>
    <w:p w14:paraId="68696CB4" w14:textId="77777777" w:rsidR="00D32C1A" w:rsidRPr="006674D0" w:rsidRDefault="00D32C1A" w:rsidP="006674D0">
      <w:pPr>
        <w:numPr>
          <w:ilvl w:val="0"/>
          <w:numId w:val="2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transformación digital; </w:t>
      </w:r>
    </w:p>
    <w:p w14:paraId="2F7C3299" w14:textId="77777777" w:rsidR="00D32C1A" w:rsidRPr="006674D0" w:rsidRDefault="00D32C1A" w:rsidP="006674D0">
      <w:pPr>
        <w:numPr>
          <w:ilvl w:val="0"/>
          <w:numId w:val="2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inteligencia artificial; </w:t>
      </w:r>
    </w:p>
    <w:p w14:paraId="4AADDF10" w14:textId="77777777" w:rsidR="00D32C1A" w:rsidRPr="006674D0" w:rsidRDefault="00D32C1A" w:rsidP="006674D0">
      <w:pPr>
        <w:numPr>
          <w:ilvl w:val="0"/>
          <w:numId w:val="2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educación superior; </w:t>
      </w:r>
    </w:p>
    <w:p w14:paraId="0B534D98" w14:textId="77777777" w:rsidR="00D32C1A" w:rsidRPr="006674D0" w:rsidRDefault="00D32C1A" w:rsidP="006674D0">
      <w:pPr>
        <w:numPr>
          <w:ilvl w:val="0"/>
          <w:numId w:val="2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innovación; </w:t>
      </w:r>
    </w:p>
    <w:p w14:paraId="15D47F76" w14:textId="77777777" w:rsidR="00D32C1A" w:rsidRPr="006674D0" w:rsidRDefault="00D32C1A" w:rsidP="006674D0">
      <w:pPr>
        <w:numPr>
          <w:ilvl w:val="0"/>
          <w:numId w:val="2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productividad; </w:t>
      </w:r>
    </w:p>
    <w:p w14:paraId="142A9109" w14:textId="77777777" w:rsidR="00D32C1A" w:rsidRPr="006674D0" w:rsidRDefault="00D32C1A" w:rsidP="006674D0">
      <w:pPr>
        <w:numPr>
          <w:ilvl w:val="0"/>
          <w:numId w:val="2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transición energética. </w:t>
      </w:r>
    </w:p>
    <w:p w14:paraId="7739BDE8" w14:textId="77777777" w:rsidR="00D32C1A" w:rsidRPr="006674D0" w:rsidRDefault="00D32C1A"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d. Capacidad para integrar agendas</w:t>
      </w:r>
    </w:p>
    <w:p w14:paraId="7D3775F2"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Uno de los avances más importantes observados durante los últimos cinco años consiste en la integración de múltiples agendas internacionales:</w:t>
      </w:r>
    </w:p>
    <w:p w14:paraId="53B4D11B" w14:textId="77777777" w:rsidR="00D32C1A" w:rsidRPr="006674D0" w:rsidRDefault="00D32C1A" w:rsidP="006674D0">
      <w:pPr>
        <w:numPr>
          <w:ilvl w:val="0"/>
          <w:numId w:val="27"/>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Agenda 2030. </w:t>
      </w:r>
    </w:p>
    <w:p w14:paraId="5AC6CCF4" w14:textId="77777777" w:rsidR="00D32C1A" w:rsidRPr="006674D0" w:rsidRDefault="00D32C1A" w:rsidP="006674D0">
      <w:pPr>
        <w:numPr>
          <w:ilvl w:val="0"/>
          <w:numId w:val="27"/>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Transformación digital. </w:t>
      </w:r>
    </w:p>
    <w:p w14:paraId="17B185CF" w14:textId="77777777" w:rsidR="00D32C1A" w:rsidRPr="006674D0" w:rsidRDefault="00D32C1A" w:rsidP="006674D0">
      <w:pPr>
        <w:numPr>
          <w:ilvl w:val="0"/>
          <w:numId w:val="27"/>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Cambio climático. </w:t>
      </w:r>
    </w:p>
    <w:p w14:paraId="10670F86" w14:textId="77777777" w:rsidR="00D32C1A" w:rsidRPr="006674D0" w:rsidRDefault="00D32C1A" w:rsidP="006674D0">
      <w:pPr>
        <w:numPr>
          <w:ilvl w:val="0"/>
          <w:numId w:val="27"/>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Desarrollo productivo. </w:t>
      </w:r>
    </w:p>
    <w:p w14:paraId="5CCB396E" w14:textId="77777777" w:rsidR="00D32C1A" w:rsidRPr="006674D0" w:rsidRDefault="00D32C1A" w:rsidP="006674D0">
      <w:pPr>
        <w:numPr>
          <w:ilvl w:val="0"/>
          <w:numId w:val="27"/>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Ciencia, tecnología e innovación. </w:t>
      </w:r>
    </w:p>
    <w:p w14:paraId="7B67222D" w14:textId="77777777" w:rsidR="00D32C1A" w:rsidRPr="006674D0" w:rsidRDefault="00D32C1A" w:rsidP="006674D0">
      <w:pPr>
        <w:numPr>
          <w:ilvl w:val="0"/>
          <w:numId w:val="27"/>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Inclusión social. </w:t>
      </w:r>
    </w:p>
    <w:p w14:paraId="3E9703CC"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Esta integración permite diseñar políticas públicas más coherentes.</w:t>
      </w:r>
    </w:p>
    <w:p w14:paraId="479F189C" w14:textId="77777777" w:rsidR="00D32C1A" w:rsidRPr="006674D0" w:rsidRDefault="00D32C1A"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e. Liderazgo en cooperación regional</w:t>
      </w:r>
    </w:p>
    <w:p w14:paraId="3D7FE9F8"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CEPAL continúa siendo el principal espacio regional para compartir experiencias, construir capacidades institucionales y promover la cooperación entre países.</w:t>
      </w:r>
    </w:p>
    <w:p w14:paraId="78B68531" w14:textId="77777777" w:rsidR="00D32C1A" w:rsidRPr="006674D0" w:rsidRDefault="00D32C1A"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7.2 Principales debilidades</w:t>
      </w:r>
    </w:p>
    <w:p w14:paraId="0D20991F" w14:textId="77777777" w:rsidR="00D32C1A" w:rsidRPr="006674D0" w:rsidRDefault="00D32C1A"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a. Limitada capacidad de implementación</w:t>
      </w:r>
    </w:p>
    <w:p w14:paraId="369EF887"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principal limitación de la CEPAL deriva de la naturaleza de su mandato.</w:t>
      </w:r>
    </w:p>
    <w:p w14:paraId="0BB12AB6"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Comisión produce recomendaciones, estudios y asistencia técnica, pero no cuenta con instrumentos financieros para ejecutar programas de gran escala.</w:t>
      </w:r>
    </w:p>
    <w:p w14:paraId="26C04F87"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Como consecuencia, la implementación depende completamente de:</w:t>
      </w:r>
    </w:p>
    <w:p w14:paraId="3AB7A57E" w14:textId="77777777" w:rsidR="00D32C1A" w:rsidRPr="006674D0" w:rsidRDefault="00D32C1A" w:rsidP="006674D0">
      <w:pPr>
        <w:numPr>
          <w:ilvl w:val="0"/>
          <w:numId w:val="2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voluntad política; </w:t>
      </w:r>
    </w:p>
    <w:p w14:paraId="32549623" w14:textId="77777777" w:rsidR="00D32C1A" w:rsidRPr="006674D0" w:rsidRDefault="00D32C1A" w:rsidP="006674D0">
      <w:pPr>
        <w:numPr>
          <w:ilvl w:val="0"/>
          <w:numId w:val="2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recursos nacionales; </w:t>
      </w:r>
    </w:p>
    <w:p w14:paraId="72107B81" w14:textId="77777777" w:rsidR="00D32C1A" w:rsidRPr="006674D0" w:rsidRDefault="00D32C1A" w:rsidP="006674D0">
      <w:pPr>
        <w:numPr>
          <w:ilvl w:val="0"/>
          <w:numId w:val="2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lastRenderedPageBreak/>
        <w:t xml:space="preserve">estabilidad institucional; </w:t>
      </w:r>
    </w:p>
    <w:p w14:paraId="7D5EE5F1" w14:textId="77777777" w:rsidR="00D32C1A" w:rsidRPr="006674D0" w:rsidRDefault="00D32C1A" w:rsidP="006674D0">
      <w:pPr>
        <w:numPr>
          <w:ilvl w:val="0"/>
          <w:numId w:val="2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capacidad administrativa. </w:t>
      </w:r>
    </w:p>
    <w:p w14:paraId="1E8EE31F" w14:textId="77777777" w:rsidR="00D32C1A" w:rsidRPr="006674D0" w:rsidRDefault="00D32C1A"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b. Escaso seguimiento de resultados</w:t>
      </w:r>
    </w:p>
    <w:p w14:paraId="6AABF02E"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Aunque la CEPAL produce numerosos estudios, existe menor desarrollo en sistemas regionales de monitoreo que permitan responder preguntas como:</w:t>
      </w:r>
    </w:p>
    <w:p w14:paraId="6129FF55" w14:textId="77777777" w:rsidR="00D32C1A" w:rsidRPr="006674D0" w:rsidRDefault="00D32C1A" w:rsidP="006674D0">
      <w:pPr>
        <w:numPr>
          <w:ilvl w:val="0"/>
          <w:numId w:val="29"/>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¿Qué recomendaciones fueron adoptadas? </w:t>
      </w:r>
    </w:p>
    <w:p w14:paraId="23354BED" w14:textId="77777777" w:rsidR="00D32C1A" w:rsidRPr="006674D0" w:rsidRDefault="00D32C1A" w:rsidP="006674D0">
      <w:pPr>
        <w:numPr>
          <w:ilvl w:val="0"/>
          <w:numId w:val="29"/>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¿Qué políticas generaron mejores resultados? </w:t>
      </w:r>
    </w:p>
    <w:p w14:paraId="4EAE9A17" w14:textId="77777777" w:rsidR="00D32C1A" w:rsidRPr="006674D0" w:rsidRDefault="00D32C1A" w:rsidP="006674D0">
      <w:pPr>
        <w:numPr>
          <w:ilvl w:val="0"/>
          <w:numId w:val="29"/>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¿Qué experiencias pueden replicarse? </w:t>
      </w:r>
    </w:p>
    <w:p w14:paraId="1B5A39C7"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Un mayor seguimiento facilitaría el aprendizaje regional.</w:t>
      </w:r>
    </w:p>
    <w:p w14:paraId="66ADE495" w14:textId="77777777" w:rsidR="00D32C1A" w:rsidRPr="006674D0" w:rsidRDefault="00D32C1A"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c. Diferencias entre países</w:t>
      </w:r>
    </w:p>
    <w:p w14:paraId="382706C4"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heterogeneidad latinoamericana dificulta la aplicación homogénea de muchas recomendaciones.</w:t>
      </w:r>
    </w:p>
    <w:p w14:paraId="4C3B507D"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Mientras algunos países cuentan con sistemas científicos consolidados, otros enfrentan limitaciones básicas de infraestructura educativa.</w:t>
      </w:r>
    </w:p>
    <w:p w14:paraId="1A8BA999"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Ello exige recomendaciones más diferenciadas según niveles de desarrollo.</w:t>
      </w:r>
    </w:p>
    <w:p w14:paraId="4D2D89C8" w14:textId="77777777" w:rsidR="00D32C1A" w:rsidRPr="006674D0" w:rsidRDefault="00D32C1A"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d. Baja articulación con el sector productivo</w:t>
      </w:r>
    </w:p>
    <w:p w14:paraId="670BA1AF"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Aunque la CEPAL reconoce la importancia de la innovación empresarial, aún existe margen para fortalecer el diálogo con:</w:t>
      </w:r>
    </w:p>
    <w:p w14:paraId="4446A338" w14:textId="77777777" w:rsidR="00D32C1A" w:rsidRPr="006674D0" w:rsidRDefault="00D32C1A" w:rsidP="006674D0">
      <w:pPr>
        <w:numPr>
          <w:ilvl w:val="0"/>
          <w:numId w:val="3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empresas tecnológicas; </w:t>
      </w:r>
    </w:p>
    <w:p w14:paraId="64F083B8" w14:textId="77777777" w:rsidR="00D32C1A" w:rsidRPr="006674D0" w:rsidRDefault="00D32C1A" w:rsidP="006674D0">
      <w:pPr>
        <w:numPr>
          <w:ilvl w:val="0"/>
          <w:numId w:val="3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industrias emergentes; </w:t>
      </w:r>
    </w:p>
    <w:p w14:paraId="79FA04A7" w14:textId="77777777" w:rsidR="00D32C1A" w:rsidRPr="006674D0" w:rsidRDefault="00D32C1A" w:rsidP="006674D0">
      <w:pPr>
        <w:numPr>
          <w:ilvl w:val="0"/>
          <w:numId w:val="3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emprendimientos innovadores; </w:t>
      </w:r>
    </w:p>
    <w:p w14:paraId="07918092" w14:textId="77777777" w:rsidR="00D32C1A" w:rsidRPr="006674D0" w:rsidRDefault="00D32C1A" w:rsidP="006674D0">
      <w:pPr>
        <w:numPr>
          <w:ilvl w:val="0"/>
          <w:numId w:val="3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ecosistemas regionales de innovación. </w:t>
      </w:r>
    </w:p>
    <w:p w14:paraId="730FF886" w14:textId="77777777" w:rsidR="00D32C1A" w:rsidRPr="006674D0" w:rsidRDefault="00D32C1A"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e. Desarrollo insuficiente de indicadores emergentes</w:t>
      </w:r>
    </w:p>
    <w:p w14:paraId="46BE1368"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revolución tecnológica está modificando profundamente las competencias laborales.</w:t>
      </w:r>
    </w:p>
    <w:p w14:paraId="04FB57D3"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región requiere nuevos indicadores relacionados con:</w:t>
      </w:r>
    </w:p>
    <w:p w14:paraId="3964E15D" w14:textId="77777777" w:rsidR="00D32C1A" w:rsidRPr="006674D0" w:rsidRDefault="00D32C1A" w:rsidP="006674D0">
      <w:pPr>
        <w:numPr>
          <w:ilvl w:val="0"/>
          <w:numId w:val="3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inteligencia artificial; </w:t>
      </w:r>
    </w:p>
    <w:p w14:paraId="6E2690F6" w14:textId="77777777" w:rsidR="00D32C1A" w:rsidRPr="006674D0" w:rsidRDefault="00D32C1A" w:rsidP="006674D0">
      <w:pPr>
        <w:numPr>
          <w:ilvl w:val="0"/>
          <w:numId w:val="3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habilidades digitales; </w:t>
      </w:r>
    </w:p>
    <w:p w14:paraId="589427F3" w14:textId="77777777" w:rsidR="00D32C1A" w:rsidRPr="006674D0" w:rsidRDefault="00D32C1A" w:rsidP="006674D0">
      <w:pPr>
        <w:numPr>
          <w:ilvl w:val="0"/>
          <w:numId w:val="3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ciencia abierta; </w:t>
      </w:r>
    </w:p>
    <w:p w14:paraId="46CD7569" w14:textId="77777777" w:rsidR="00D32C1A" w:rsidRPr="006674D0" w:rsidRDefault="00D32C1A" w:rsidP="006674D0">
      <w:pPr>
        <w:numPr>
          <w:ilvl w:val="0"/>
          <w:numId w:val="3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transferencia tecnológica; </w:t>
      </w:r>
    </w:p>
    <w:p w14:paraId="531E18B5" w14:textId="77777777" w:rsidR="00D32C1A" w:rsidRPr="006674D0" w:rsidRDefault="00D32C1A" w:rsidP="006674D0">
      <w:pPr>
        <w:numPr>
          <w:ilvl w:val="0"/>
          <w:numId w:val="3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innovación educativa; </w:t>
      </w:r>
    </w:p>
    <w:p w14:paraId="44A6B03F" w14:textId="77777777" w:rsidR="00D32C1A" w:rsidRPr="006674D0" w:rsidRDefault="00D32C1A" w:rsidP="006674D0">
      <w:pPr>
        <w:numPr>
          <w:ilvl w:val="0"/>
          <w:numId w:val="31"/>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economía basada en datos. </w:t>
      </w:r>
    </w:p>
    <w:p w14:paraId="0547C331" w14:textId="77777777" w:rsidR="00D32C1A" w:rsidRPr="006674D0" w:rsidRDefault="00D32C1A"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lastRenderedPageBreak/>
        <w:t>7.3 Oportunidades</w:t>
      </w:r>
    </w:p>
    <w:p w14:paraId="2D17CFEC"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Durante la próxima década, la CEPAL dispone de oportunidades extraordinarias para fortalecer su liderazgo regional.</w:t>
      </w:r>
    </w:p>
    <w:p w14:paraId="05904F27"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Entre ellas destacan:</w:t>
      </w:r>
    </w:p>
    <w:p w14:paraId="0C394A69" w14:textId="77777777" w:rsidR="00D32C1A" w:rsidRPr="006674D0" w:rsidRDefault="00D32C1A" w:rsidP="006674D0">
      <w:pPr>
        <w:spacing w:before="100" w:beforeAutospacing="1" w:after="100" w:afterAutospacing="1" w:line="240" w:lineRule="auto"/>
        <w:jc w:val="both"/>
        <w:outlineLvl w:val="2"/>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Consolidación de la economía del conocimiento</w:t>
      </w:r>
    </w:p>
    <w:p w14:paraId="0CE85D50"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transición hacia economías intensivas en conocimiento incrementará la demanda de análisis especializados en educación superior, investigación e innovación.</w:t>
      </w:r>
    </w:p>
    <w:p w14:paraId="30088CA9" w14:textId="77777777" w:rsidR="00D32C1A" w:rsidRPr="006674D0" w:rsidRDefault="00D32C1A" w:rsidP="006674D0">
      <w:pPr>
        <w:spacing w:before="100" w:beforeAutospacing="1" w:after="100" w:afterAutospacing="1" w:line="240" w:lineRule="auto"/>
        <w:jc w:val="both"/>
        <w:outlineLvl w:val="2"/>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Inteligencia artificial</w:t>
      </w:r>
    </w:p>
    <w:p w14:paraId="5308EB56"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rápida expansión de la IA abre nuevas posibilidades para:</w:t>
      </w:r>
    </w:p>
    <w:p w14:paraId="18392813" w14:textId="77777777" w:rsidR="00D32C1A" w:rsidRPr="006674D0" w:rsidRDefault="00D32C1A" w:rsidP="006674D0">
      <w:pPr>
        <w:numPr>
          <w:ilvl w:val="0"/>
          <w:numId w:val="3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personalización del aprendizaje; </w:t>
      </w:r>
    </w:p>
    <w:p w14:paraId="63C30E9B" w14:textId="77777777" w:rsidR="00D32C1A" w:rsidRPr="006674D0" w:rsidRDefault="00D32C1A" w:rsidP="006674D0">
      <w:pPr>
        <w:numPr>
          <w:ilvl w:val="0"/>
          <w:numId w:val="3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investigación científica; </w:t>
      </w:r>
    </w:p>
    <w:p w14:paraId="4D1448DE" w14:textId="77777777" w:rsidR="00D32C1A" w:rsidRPr="006674D0" w:rsidRDefault="00D32C1A" w:rsidP="006674D0">
      <w:pPr>
        <w:numPr>
          <w:ilvl w:val="0"/>
          <w:numId w:val="3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productividad empresarial; </w:t>
      </w:r>
    </w:p>
    <w:p w14:paraId="1E3C5075" w14:textId="77777777" w:rsidR="00D32C1A" w:rsidRPr="006674D0" w:rsidRDefault="00D32C1A" w:rsidP="006674D0">
      <w:pPr>
        <w:numPr>
          <w:ilvl w:val="0"/>
          <w:numId w:val="32"/>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modernización del Estado. </w:t>
      </w:r>
    </w:p>
    <w:p w14:paraId="0AE749E3"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CEPAL puede convertirse en el principal referente regional en gobernanza de estas tecnologías.</w:t>
      </w:r>
    </w:p>
    <w:p w14:paraId="3018EF03" w14:textId="77777777" w:rsidR="00D32C1A" w:rsidRPr="006674D0" w:rsidRDefault="00D32C1A" w:rsidP="006674D0">
      <w:pPr>
        <w:spacing w:before="100" w:beforeAutospacing="1" w:after="100" w:afterAutospacing="1" w:line="240" w:lineRule="auto"/>
        <w:jc w:val="both"/>
        <w:outlineLvl w:val="2"/>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Cooperación científica regional</w:t>
      </w:r>
    </w:p>
    <w:p w14:paraId="479609D3"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creciente complejidad de los desafíos globales hace indispensable fortalecer las redes regionales de investigación.</w:t>
      </w:r>
    </w:p>
    <w:p w14:paraId="6203C548"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CEPAL puede liderar iniciativas orientadas a construir grandes consorcios científicos latinoamericanos.</w:t>
      </w:r>
    </w:p>
    <w:p w14:paraId="31475F6F" w14:textId="77777777" w:rsidR="00D32C1A" w:rsidRPr="006674D0" w:rsidRDefault="00D32C1A" w:rsidP="006674D0">
      <w:pPr>
        <w:spacing w:before="100" w:beforeAutospacing="1" w:after="100" w:afterAutospacing="1" w:line="240" w:lineRule="auto"/>
        <w:jc w:val="both"/>
        <w:outlineLvl w:val="2"/>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Nuevos modelos universitarios</w:t>
      </w:r>
    </w:p>
    <w:p w14:paraId="1A24F427"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Las universidades están redefiniendo sus funciones.</w:t>
      </w:r>
    </w:p>
    <w:p w14:paraId="16B732F2"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Además de enseñar e investigar deberán contribuir a:</w:t>
      </w:r>
    </w:p>
    <w:p w14:paraId="0D2A18ED" w14:textId="77777777" w:rsidR="00D32C1A" w:rsidRPr="006674D0" w:rsidRDefault="00D32C1A" w:rsidP="006674D0">
      <w:pPr>
        <w:numPr>
          <w:ilvl w:val="0"/>
          <w:numId w:val="3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innovación; </w:t>
      </w:r>
    </w:p>
    <w:p w14:paraId="230AF99E" w14:textId="77777777" w:rsidR="00D32C1A" w:rsidRPr="006674D0" w:rsidRDefault="00D32C1A" w:rsidP="006674D0">
      <w:pPr>
        <w:numPr>
          <w:ilvl w:val="0"/>
          <w:numId w:val="3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emprendimiento; </w:t>
      </w:r>
    </w:p>
    <w:p w14:paraId="7716DABE" w14:textId="77777777" w:rsidR="00D32C1A" w:rsidRPr="006674D0" w:rsidRDefault="00D32C1A" w:rsidP="006674D0">
      <w:pPr>
        <w:numPr>
          <w:ilvl w:val="0"/>
          <w:numId w:val="3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desarrollo territorial; </w:t>
      </w:r>
    </w:p>
    <w:p w14:paraId="42D29BA4" w14:textId="77777777" w:rsidR="00D32C1A" w:rsidRPr="006674D0" w:rsidRDefault="00D32C1A" w:rsidP="006674D0">
      <w:pPr>
        <w:numPr>
          <w:ilvl w:val="0"/>
          <w:numId w:val="33"/>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formulación de políticas públicas. </w:t>
      </w:r>
    </w:p>
    <w:p w14:paraId="24A9BCB8"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CEPAL puede impulsar esta transformación.</w:t>
      </w:r>
    </w:p>
    <w:p w14:paraId="53232373" w14:textId="77777777" w:rsidR="00D32C1A" w:rsidRPr="006674D0" w:rsidRDefault="00D32C1A" w:rsidP="006674D0">
      <w:pPr>
        <w:spacing w:before="100" w:beforeAutospacing="1" w:after="100" w:afterAutospacing="1" w:line="240" w:lineRule="auto"/>
        <w:jc w:val="both"/>
        <w:outlineLvl w:val="2"/>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Integración regional</w:t>
      </w:r>
    </w:p>
    <w:p w14:paraId="0613C281"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lastRenderedPageBreak/>
        <w:t>Las tensiones geopolíticas aumentan el valor estratégico de la cooperación latinoamericana.</w:t>
      </w:r>
    </w:p>
    <w:p w14:paraId="3F198C88"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Comisión posee condiciones excepcionales para facilitar dicha integración.</w:t>
      </w:r>
    </w:p>
    <w:p w14:paraId="3D675F50" w14:textId="77777777" w:rsidR="00D32C1A" w:rsidRPr="006674D0" w:rsidRDefault="00D32C1A"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7.4 Amenazas</w:t>
      </w:r>
    </w:p>
    <w:p w14:paraId="41C05AE0"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También existen factores externos que podrían limitar el impacto de las estrategias promovidas por la CEPAL.</w:t>
      </w:r>
    </w:p>
    <w:p w14:paraId="0B6B22E9"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Entre ellos:</w:t>
      </w:r>
    </w:p>
    <w:p w14:paraId="28270ED3" w14:textId="77777777" w:rsidR="00D32C1A" w:rsidRPr="006674D0" w:rsidRDefault="00D32C1A" w:rsidP="006674D0">
      <w:pPr>
        <w:numPr>
          <w:ilvl w:val="0"/>
          <w:numId w:val="3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bajo crecimiento económico; </w:t>
      </w:r>
    </w:p>
    <w:p w14:paraId="7D7087BF" w14:textId="77777777" w:rsidR="00D32C1A" w:rsidRPr="006674D0" w:rsidRDefault="00D32C1A" w:rsidP="006674D0">
      <w:pPr>
        <w:numPr>
          <w:ilvl w:val="0"/>
          <w:numId w:val="3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restricciones fiscales; </w:t>
      </w:r>
    </w:p>
    <w:p w14:paraId="61149515" w14:textId="77777777" w:rsidR="00D32C1A" w:rsidRPr="006674D0" w:rsidRDefault="00D32C1A" w:rsidP="006674D0">
      <w:pPr>
        <w:numPr>
          <w:ilvl w:val="0"/>
          <w:numId w:val="3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inestabilidad política; </w:t>
      </w:r>
    </w:p>
    <w:p w14:paraId="6DA839A4" w14:textId="77777777" w:rsidR="00D32C1A" w:rsidRPr="006674D0" w:rsidRDefault="00D32C1A" w:rsidP="006674D0">
      <w:pPr>
        <w:numPr>
          <w:ilvl w:val="0"/>
          <w:numId w:val="3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polarización institucional; </w:t>
      </w:r>
    </w:p>
    <w:p w14:paraId="69B841CF" w14:textId="77777777" w:rsidR="00D32C1A" w:rsidRPr="006674D0" w:rsidRDefault="00D32C1A" w:rsidP="006674D0">
      <w:pPr>
        <w:numPr>
          <w:ilvl w:val="0"/>
          <w:numId w:val="3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fuga de talento científico; </w:t>
      </w:r>
    </w:p>
    <w:p w14:paraId="5CC19E81" w14:textId="77777777" w:rsidR="00D32C1A" w:rsidRPr="006674D0" w:rsidRDefault="00D32C1A" w:rsidP="006674D0">
      <w:pPr>
        <w:numPr>
          <w:ilvl w:val="0"/>
          <w:numId w:val="3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incremento de desigualdades digitales; </w:t>
      </w:r>
    </w:p>
    <w:p w14:paraId="0AEAA1D1" w14:textId="77777777" w:rsidR="00D32C1A" w:rsidRPr="006674D0" w:rsidRDefault="00D32C1A" w:rsidP="006674D0">
      <w:pPr>
        <w:numPr>
          <w:ilvl w:val="0"/>
          <w:numId w:val="3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aceleración tecnológica superior a la capacidad regulatoria; </w:t>
      </w:r>
    </w:p>
    <w:p w14:paraId="664E986E" w14:textId="77777777" w:rsidR="00D32C1A" w:rsidRPr="006674D0" w:rsidRDefault="00D32C1A" w:rsidP="006674D0">
      <w:pPr>
        <w:numPr>
          <w:ilvl w:val="0"/>
          <w:numId w:val="34"/>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competencia internacional por investigadores altamente calificados. </w:t>
      </w:r>
    </w:p>
    <w:p w14:paraId="1275969A" w14:textId="77777777" w:rsidR="00D32C1A" w:rsidRPr="006674D0" w:rsidRDefault="00D32C1A"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8. Matriz FODA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34"/>
        <w:gridCol w:w="4126"/>
      </w:tblGrid>
      <w:tr w:rsidR="00D32C1A" w:rsidRPr="006674D0" w14:paraId="188792BF" w14:textId="77777777">
        <w:trPr>
          <w:tblHeader/>
          <w:tblCellSpacing w:w="15" w:type="dxa"/>
        </w:trPr>
        <w:tc>
          <w:tcPr>
            <w:tcW w:w="0" w:type="auto"/>
            <w:vAlign w:val="center"/>
            <w:hideMark/>
          </w:tcPr>
          <w:p w14:paraId="441F5B4D" w14:textId="77777777" w:rsidR="00D32C1A" w:rsidRPr="006674D0" w:rsidRDefault="00D32C1A" w:rsidP="006674D0">
            <w:pPr>
              <w:spacing w:after="0" w:line="240" w:lineRule="auto"/>
              <w:jc w:val="both"/>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Fortalezas</w:t>
            </w:r>
          </w:p>
        </w:tc>
        <w:tc>
          <w:tcPr>
            <w:tcW w:w="0" w:type="auto"/>
            <w:vAlign w:val="center"/>
            <w:hideMark/>
          </w:tcPr>
          <w:p w14:paraId="01FE6C26" w14:textId="77777777" w:rsidR="00D32C1A" w:rsidRPr="006674D0" w:rsidRDefault="00D32C1A" w:rsidP="006674D0">
            <w:pPr>
              <w:spacing w:after="0" w:line="240" w:lineRule="auto"/>
              <w:jc w:val="both"/>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Debilidades</w:t>
            </w:r>
          </w:p>
        </w:tc>
      </w:tr>
      <w:tr w:rsidR="00D32C1A" w:rsidRPr="006674D0" w14:paraId="18C952F8" w14:textId="77777777">
        <w:trPr>
          <w:tblCellSpacing w:w="15" w:type="dxa"/>
        </w:trPr>
        <w:tc>
          <w:tcPr>
            <w:tcW w:w="0" w:type="auto"/>
            <w:vAlign w:val="center"/>
            <w:hideMark/>
          </w:tcPr>
          <w:p w14:paraId="241571EC" w14:textId="77777777" w:rsidR="00D32C1A" w:rsidRPr="006674D0" w:rsidRDefault="00D32C1A"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Alto prestigio técnico</w:t>
            </w:r>
          </w:p>
        </w:tc>
        <w:tc>
          <w:tcPr>
            <w:tcW w:w="0" w:type="auto"/>
            <w:vAlign w:val="center"/>
            <w:hideMark/>
          </w:tcPr>
          <w:p w14:paraId="65C02E9E" w14:textId="77777777" w:rsidR="00D32C1A" w:rsidRPr="006674D0" w:rsidRDefault="00D32C1A"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Sin capacidad financiera propia</w:t>
            </w:r>
          </w:p>
        </w:tc>
      </w:tr>
      <w:tr w:rsidR="00D32C1A" w:rsidRPr="006674D0" w14:paraId="1BACF0AC" w14:textId="77777777">
        <w:trPr>
          <w:tblCellSpacing w:w="15" w:type="dxa"/>
        </w:trPr>
        <w:tc>
          <w:tcPr>
            <w:tcW w:w="0" w:type="auto"/>
            <w:vAlign w:val="center"/>
            <w:hideMark/>
          </w:tcPr>
          <w:p w14:paraId="7E80B953" w14:textId="77777777" w:rsidR="00D32C1A" w:rsidRPr="006674D0" w:rsidRDefault="00D32C1A"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Producción rigurosa de conocimiento</w:t>
            </w:r>
          </w:p>
        </w:tc>
        <w:tc>
          <w:tcPr>
            <w:tcW w:w="0" w:type="auto"/>
            <w:vAlign w:val="center"/>
            <w:hideMark/>
          </w:tcPr>
          <w:p w14:paraId="2B529F10" w14:textId="77777777" w:rsidR="00D32C1A" w:rsidRPr="006674D0" w:rsidRDefault="00D32C1A"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Implementación depende de los gobiernos</w:t>
            </w:r>
          </w:p>
        </w:tc>
      </w:tr>
      <w:tr w:rsidR="00D32C1A" w:rsidRPr="006674D0" w14:paraId="76BA9032" w14:textId="77777777">
        <w:trPr>
          <w:tblCellSpacing w:w="15" w:type="dxa"/>
        </w:trPr>
        <w:tc>
          <w:tcPr>
            <w:tcW w:w="0" w:type="auto"/>
            <w:vAlign w:val="center"/>
            <w:hideMark/>
          </w:tcPr>
          <w:p w14:paraId="5499B161" w14:textId="77777777" w:rsidR="00D32C1A" w:rsidRPr="006674D0" w:rsidRDefault="00D32C1A"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Visión integral del desarrollo</w:t>
            </w:r>
          </w:p>
        </w:tc>
        <w:tc>
          <w:tcPr>
            <w:tcW w:w="0" w:type="auto"/>
            <w:vAlign w:val="center"/>
            <w:hideMark/>
          </w:tcPr>
          <w:p w14:paraId="2736A73D" w14:textId="77777777" w:rsidR="00D32C1A" w:rsidRPr="006674D0" w:rsidRDefault="00D32C1A"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Escaso seguimiento del impacto</w:t>
            </w:r>
          </w:p>
        </w:tc>
      </w:tr>
      <w:tr w:rsidR="00D32C1A" w:rsidRPr="006674D0" w14:paraId="0331B56F" w14:textId="77777777">
        <w:trPr>
          <w:tblCellSpacing w:w="15" w:type="dxa"/>
        </w:trPr>
        <w:tc>
          <w:tcPr>
            <w:tcW w:w="0" w:type="auto"/>
            <w:vAlign w:val="center"/>
            <w:hideMark/>
          </w:tcPr>
          <w:p w14:paraId="6E3AC17A" w14:textId="77777777" w:rsidR="00D32C1A" w:rsidRPr="006674D0" w:rsidRDefault="00D32C1A"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Liderazgo regional</w:t>
            </w:r>
          </w:p>
        </w:tc>
        <w:tc>
          <w:tcPr>
            <w:tcW w:w="0" w:type="auto"/>
            <w:vAlign w:val="center"/>
            <w:hideMark/>
          </w:tcPr>
          <w:p w14:paraId="5F1D5423" w14:textId="77777777" w:rsidR="00D32C1A" w:rsidRPr="006674D0" w:rsidRDefault="00D32C1A"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Recomendaciones poco diferenciadas</w:t>
            </w:r>
          </w:p>
        </w:tc>
      </w:tr>
      <w:tr w:rsidR="00D32C1A" w:rsidRPr="006674D0" w14:paraId="207654B2" w14:textId="77777777">
        <w:trPr>
          <w:tblCellSpacing w:w="15" w:type="dxa"/>
        </w:trPr>
        <w:tc>
          <w:tcPr>
            <w:tcW w:w="0" w:type="auto"/>
            <w:vAlign w:val="center"/>
            <w:hideMark/>
          </w:tcPr>
          <w:p w14:paraId="250A1A53" w14:textId="77777777" w:rsidR="00D32C1A" w:rsidRPr="006674D0" w:rsidRDefault="00D32C1A"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Cooperación internacional consolidada</w:t>
            </w:r>
          </w:p>
        </w:tc>
        <w:tc>
          <w:tcPr>
            <w:tcW w:w="0" w:type="auto"/>
            <w:vAlign w:val="center"/>
            <w:hideMark/>
          </w:tcPr>
          <w:p w14:paraId="0FA0A212" w14:textId="77777777" w:rsidR="00D32C1A" w:rsidRPr="006674D0" w:rsidRDefault="00D32C1A"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Limitada articulación con el sector privado</w:t>
            </w:r>
          </w:p>
        </w:tc>
      </w:tr>
    </w:tbl>
    <w:p w14:paraId="769C076E" w14:textId="77777777" w:rsidR="00D32C1A" w:rsidRPr="006674D0" w:rsidRDefault="00D32C1A" w:rsidP="006674D0">
      <w:pPr>
        <w:spacing w:after="0" w:line="240" w:lineRule="auto"/>
        <w:jc w:val="both"/>
        <w:rPr>
          <w:rFonts w:eastAsia="Times New Roman" w:cs="Times New Roman"/>
          <w:vanish/>
          <w:kern w:val="0"/>
          <w:lang w:eastAsia="es-CO"/>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38"/>
        <w:gridCol w:w="2371"/>
      </w:tblGrid>
      <w:tr w:rsidR="00D32C1A" w:rsidRPr="006674D0" w14:paraId="3C8B3FAD" w14:textId="77777777">
        <w:trPr>
          <w:tblHeader/>
          <w:tblCellSpacing w:w="15" w:type="dxa"/>
        </w:trPr>
        <w:tc>
          <w:tcPr>
            <w:tcW w:w="0" w:type="auto"/>
            <w:vAlign w:val="center"/>
            <w:hideMark/>
          </w:tcPr>
          <w:p w14:paraId="5AD5EDD6" w14:textId="77777777" w:rsidR="00D32C1A" w:rsidRPr="006674D0" w:rsidRDefault="00D32C1A" w:rsidP="006674D0">
            <w:pPr>
              <w:spacing w:after="0" w:line="240" w:lineRule="auto"/>
              <w:jc w:val="both"/>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Oportunidades</w:t>
            </w:r>
          </w:p>
        </w:tc>
        <w:tc>
          <w:tcPr>
            <w:tcW w:w="0" w:type="auto"/>
            <w:vAlign w:val="center"/>
            <w:hideMark/>
          </w:tcPr>
          <w:p w14:paraId="5C1213B7" w14:textId="77777777" w:rsidR="00D32C1A" w:rsidRPr="006674D0" w:rsidRDefault="00D32C1A" w:rsidP="006674D0">
            <w:pPr>
              <w:spacing w:after="0" w:line="240" w:lineRule="auto"/>
              <w:jc w:val="both"/>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Amenazas</w:t>
            </w:r>
          </w:p>
        </w:tc>
      </w:tr>
      <w:tr w:rsidR="00D32C1A" w:rsidRPr="006674D0" w14:paraId="1AEBEFE2" w14:textId="77777777">
        <w:trPr>
          <w:tblCellSpacing w:w="15" w:type="dxa"/>
        </w:trPr>
        <w:tc>
          <w:tcPr>
            <w:tcW w:w="0" w:type="auto"/>
            <w:vAlign w:val="center"/>
            <w:hideMark/>
          </w:tcPr>
          <w:p w14:paraId="4516B4C7" w14:textId="77777777" w:rsidR="00D32C1A" w:rsidRPr="006674D0" w:rsidRDefault="00D32C1A"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Inteligencia artificial</w:t>
            </w:r>
          </w:p>
        </w:tc>
        <w:tc>
          <w:tcPr>
            <w:tcW w:w="0" w:type="auto"/>
            <w:vAlign w:val="center"/>
            <w:hideMark/>
          </w:tcPr>
          <w:p w14:paraId="13220379" w14:textId="77777777" w:rsidR="00D32C1A" w:rsidRPr="006674D0" w:rsidRDefault="00D32C1A"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Restricciones fiscales</w:t>
            </w:r>
          </w:p>
        </w:tc>
      </w:tr>
      <w:tr w:rsidR="00D32C1A" w:rsidRPr="006674D0" w14:paraId="58B2FB18" w14:textId="77777777">
        <w:trPr>
          <w:tblCellSpacing w:w="15" w:type="dxa"/>
        </w:trPr>
        <w:tc>
          <w:tcPr>
            <w:tcW w:w="0" w:type="auto"/>
            <w:vAlign w:val="center"/>
            <w:hideMark/>
          </w:tcPr>
          <w:p w14:paraId="685E6A0C" w14:textId="77777777" w:rsidR="00D32C1A" w:rsidRPr="006674D0" w:rsidRDefault="00D32C1A"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Economía del conocimiento</w:t>
            </w:r>
          </w:p>
        </w:tc>
        <w:tc>
          <w:tcPr>
            <w:tcW w:w="0" w:type="auto"/>
            <w:vAlign w:val="center"/>
            <w:hideMark/>
          </w:tcPr>
          <w:p w14:paraId="09172A00" w14:textId="77777777" w:rsidR="00D32C1A" w:rsidRPr="006674D0" w:rsidRDefault="00D32C1A"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Inestabilidad política</w:t>
            </w:r>
          </w:p>
        </w:tc>
      </w:tr>
      <w:tr w:rsidR="00D32C1A" w:rsidRPr="006674D0" w14:paraId="645CD630" w14:textId="77777777">
        <w:trPr>
          <w:tblCellSpacing w:w="15" w:type="dxa"/>
        </w:trPr>
        <w:tc>
          <w:tcPr>
            <w:tcW w:w="0" w:type="auto"/>
            <w:vAlign w:val="center"/>
            <w:hideMark/>
          </w:tcPr>
          <w:p w14:paraId="6557B14A" w14:textId="77777777" w:rsidR="00D32C1A" w:rsidRPr="006674D0" w:rsidRDefault="00D32C1A"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Integración regional</w:t>
            </w:r>
          </w:p>
        </w:tc>
        <w:tc>
          <w:tcPr>
            <w:tcW w:w="0" w:type="auto"/>
            <w:vAlign w:val="center"/>
            <w:hideMark/>
          </w:tcPr>
          <w:p w14:paraId="70396176" w14:textId="77777777" w:rsidR="00D32C1A" w:rsidRPr="006674D0" w:rsidRDefault="00D32C1A"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Brechas tecnológicas</w:t>
            </w:r>
          </w:p>
        </w:tc>
      </w:tr>
      <w:tr w:rsidR="00D32C1A" w:rsidRPr="006674D0" w14:paraId="7A7CD6A2" w14:textId="77777777">
        <w:trPr>
          <w:tblCellSpacing w:w="15" w:type="dxa"/>
        </w:trPr>
        <w:tc>
          <w:tcPr>
            <w:tcW w:w="0" w:type="auto"/>
            <w:vAlign w:val="center"/>
            <w:hideMark/>
          </w:tcPr>
          <w:p w14:paraId="5891E60C" w14:textId="77777777" w:rsidR="00D32C1A" w:rsidRPr="006674D0" w:rsidRDefault="00D32C1A"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Cooperación científica</w:t>
            </w:r>
          </w:p>
        </w:tc>
        <w:tc>
          <w:tcPr>
            <w:tcW w:w="0" w:type="auto"/>
            <w:vAlign w:val="center"/>
            <w:hideMark/>
          </w:tcPr>
          <w:p w14:paraId="703348CD" w14:textId="77777777" w:rsidR="00D32C1A" w:rsidRPr="006674D0" w:rsidRDefault="00D32C1A"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Fuga de talento</w:t>
            </w:r>
          </w:p>
        </w:tc>
      </w:tr>
      <w:tr w:rsidR="00D32C1A" w:rsidRPr="006674D0" w14:paraId="49131592" w14:textId="77777777">
        <w:trPr>
          <w:tblCellSpacing w:w="15" w:type="dxa"/>
        </w:trPr>
        <w:tc>
          <w:tcPr>
            <w:tcW w:w="0" w:type="auto"/>
            <w:vAlign w:val="center"/>
            <w:hideMark/>
          </w:tcPr>
          <w:p w14:paraId="2242EFED" w14:textId="77777777" w:rsidR="00D32C1A" w:rsidRPr="006674D0" w:rsidRDefault="00D32C1A"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Universidades innovadoras</w:t>
            </w:r>
          </w:p>
        </w:tc>
        <w:tc>
          <w:tcPr>
            <w:tcW w:w="0" w:type="auto"/>
            <w:vAlign w:val="center"/>
            <w:hideMark/>
          </w:tcPr>
          <w:p w14:paraId="7CFB204D" w14:textId="77777777" w:rsidR="00D32C1A" w:rsidRPr="006674D0" w:rsidRDefault="00D32C1A"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Aceleración tecnológica</w:t>
            </w:r>
          </w:p>
        </w:tc>
      </w:tr>
    </w:tbl>
    <w:p w14:paraId="3EF32346" w14:textId="77777777" w:rsidR="00D32C1A" w:rsidRPr="006674D0" w:rsidRDefault="00D32C1A"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9. Recomendaciones estratégicas hacia 2035</w:t>
      </w:r>
    </w:p>
    <w:p w14:paraId="109D0EDF"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Como resultado del análisis realizado, se proponen diez recomendaciones para fortalecer la contribución de la CEPAL al desarrollo regional.</w:t>
      </w:r>
    </w:p>
    <w:p w14:paraId="74503DB3" w14:textId="77777777" w:rsidR="00D32C1A" w:rsidRPr="006674D0" w:rsidRDefault="00D32C1A"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1. Crear un Observatorio Regional de Educación Superior, Ciencia, Tecnología e Innovación</w:t>
      </w:r>
    </w:p>
    <w:p w14:paraId="455C012D"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Este observatorio podría integrar información sobre:</w:t>
      </w:r>
    </w:p>
    <w:p w14:paraId="75A5ECA4" w14:textId="77777777" w:rsidR="00D32C1A" w:rsidRPr="006674D0" w:rsidRDefault="00D32C1A" w:rsidP="006674D0">
      <w:pPr>
        <w:numPr>
          <w:ilvl w:val="0"/>
          <w:numId w:val="3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lastRenderedPageBreak/>
        <w:t xml:space="preserve">investigación; </w:t>
      </w:r>
    </w:p>
    <w:p w14:paraId="797452D9" w14:textId="77777777" w:rsidR="00D32C1A" w:rsidRPr="006674D0" w:rsidRDefault="00D32C1A" w:rsidP="006674D0">
      <w:pPr>
        <w:numPr>
          <w:ilvl w:val="0"/>
          <w:numId w:val="3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innovación; </w:t>
      </w:r>
    </w:p>
    <w:p w14:paraId="7E9B5806" w14:textId="77777777" w:rsidR="00D32C1A" w:rsidRPr="006674D0" w:rsidRDefault="00D32C1A" w:rsidP="006674D0">
      <w:pPr>
        <w:numPr>
          <w:ilvl w:val="0"/>
          <w:numId w:val="3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transferencia tecnológica; </w:t>
      </w:r>
    </w:p>
    <w:p w14:paraId="288CCE80" w14:textId="77777777" w:rsidR="00D32C1A" w:rsidRPr="006674D0" w:rsidRDefault="00D32C1A" w:rsidP="006674D0">
      <w:pPr>
        <w:numPr>
          <w:ilvl w:val="0"/>
          <w:numId w:val="3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empleabilidad; </w:t>
      </w:r>
    </w:p>
    <w:p w14:paraId="3CDAC2C4" w14:textId="77777777" w:rsidR="00D32C1A" w:rsidRPr="006674D0" w:rsidRDefault="00D32C1A" w:rsidP="006674D0">
      <w:pPr>
        <w:numPr>
          <w:ilvl w:val="0"/>
          <w:numId w:val="3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inteligencia artificial; </w:t>
      </w:r>
    </w:p>
    <w:p w14:paraId="2F6EB0DF" w14:textId="77777777" w:rsidR="00D32C1A" w:rsidRPr="006674D0" w:rsidRDefault="00D32C1A" w:rsidP="006674D0">
      <w:pPr>
        <w:numPr>
          <w:ilvl w:val="0"/>
          <w:numId w:val="35"/>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internacionalización. </w:t>
      </w:r>
    </w:p>
    <w:p w14:paraId="4484226B"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Facilitaría el seguimiento comparado de los avances regionales.</w:t>
      </w:r>
    </w:p>
    <w:p w14:paraId="75A33CEF" w14:textId="77777777" w:rsidR="00D32C1A" w:rsidRPr="006674D0" w:rsidRDefault="00D32C1A"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2. Desarrollar un Índice Latinoamericano de Universidades para el Desarrollo</w:t>
      </w:r>
    </w:p>
    <w:p w14:paraId="126581FB"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Complementario a los rankings tradicionales.</w:t>
      </w:r>
    </w:p>
    <w:p w14:paraId="5B38360D"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Evaluaría:</w:t>
      </w:r>
    </w:p>
    <w:p w14:paraId="167E6F96" w14:textId="77777777" w:rsidR="00D32C1A" w:rsidRPr="006674D0" w:rsidRDefault="00D32C1A" w:rsidP="006674D0">
      <w:pPr>
        <w:numPr>
          <w:ilvl w:val="0"/>
          <w:numId w:val="3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impacto territorial; </w:t>
      </w:r>
    </w:p>
    <w:p w14:paraId="0B8B7F53" w14:textId="77777777" w:rsidR="00D32C1A" w:rsidRPr="006674D0" w:rsidRDefault="00D32C1A" w:rsidP="006674D0">
      <w:pPr>
        <w:numPr>
          <w:ilvl w:val="0"/>
          <w:numId w:val="3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innovación; </w:t>
      </w:r>
    </w:p>
    <w:p w14:paraId="01A03E9D" w14:textId="77777777" w:rsidR="00D32C1A" w:rsidRPr="006674D0" w:rsidRDefault="00D32C1A" w:rsidP="006674D0">
      <w:pPr>
        <w:numPr>
          <w:ilvl w:val="0"/>
          <w:numId w:val="3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emprendimiento; </w:t>
      </w:r>
    </w:p>
    <w:p w14:paraId="7B8ECDFF" w14:textId="77777777" w:rsidR="00D32C1A" w:rsidRPr="006674D0" w:rsidRDefault="00D32C1A" w:rsidP="006674D0">
      <w:pPr>
        <w:numPr>
          <w:ilvl w:val="0"/>
          <w:numId w:val="3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inclusión; </w:t>
      </w:r>
    </w:p>
    <w:p w14:paraId="30819BFC" w14:textId="77777777" w:rsidR="00D32C1A" w:rsidRPr="006674D0" w:rsidRDefault="00D32C1A" w:rsidP="006674D0">
      <w:pPr>
        <w:numPr>
          <w:ilvl w:val="0"/>
          <w:numId w:val="3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sostenibilidad; </w:t>
      </w:r>
    </w:p>
    <w:p w14:paraId="7749EA96" w14:textId="77777777" w:rsidR="00D32C1A" w:rsidRPr="006674D0" w:rsidRDefault="00D32C1A" w:rsidP="006674D0">
      <w:pPr>
        <w:numPr>
          <w:ilvl w:val="0"/>
          <w:numId w:val="36"/>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cooperación internacional. </w:t>
      </w:r>
    </w:p>
    <w:p w14:paraId="08A75062" w14:textId="77777777" w:rsidR="00D32C1A" w:rsidRPr="006674D0" w:rsidRDefault="00D32C1A"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3. Impulsar una Agenda Regional de Inteligencia Artificial para la Educación Superior</w:t>
      </w:r>
    </w:p>
    <w:p w14:paraId="15C36C69"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CEPAL podría liderar una agenda común sobre:</w:t>
      </w:r>
    </w:p>
    <w:p w14:paraId="0522C374" w14:textId="77777777" w:rsidR="00D32C1A" w:rsidRPr="006674D0" w:rsidRDefault="00D32C1A" w:rsidP="006674D0">
      <w:pPr>
        <w:numPr>
          <w:ilvl w:val="0"/>
          <w:numId w:val="37"/>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ética; </w:t>
      </w:r>
    </w:p>
    <w:p w14:paraId="21B0DB4F" w14:textId="77777777" w:rsidR="00D32C1A" w:rsidRPr="006674D0" w:rsidRDefault="00D32C1A" w:rsidP="006674D0">
      <w:pPr>
        <w:numPr>
          <w:ilvl w:val="0"/>
          <w:numId w:val="37"/>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regulación; </w:t>
      </w:r>
    </w:p>
    <w:p w14:paraId="18DA38F3" w14:textId="77777777" w:rsidR="00D32C1A" w:rsidRPr="006674D0" w:rsidRDefault="00D32C1A" w:rsidP="006674D0">
      <w:pPr>
        <w:numPr>
          <w:ilvl w:val="0"/>
          <w:numId w:val="37"/>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formación docente; </w:t>
      </w:r>
    </w:p>
    <w:p w14:paraId="06C76E30" w14:textId="77777777" w:rsidR="00D32C1A" w:rsidRPr="006674D0" w:rsidRDefault="00D32C1A" w:rsidP="006674D0">
      <w:pPr>
        <w:numPr>
          <w:ilvl w:val="0"/>
          <w:numId w:val="37"/>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investigación; </w:t>
      </w:r>
    </w:p>
    <w:p w14:paraId="2BDAEBD9" w14:textId="77777777" w:rsidR="00D32C1A" w:rsidRPr="006674D0" w:rsidRDefault="00D32C1A" w:rsidP="006674D0">
      <w:pPr>
        <w:numPr>
          <w:ilvl w:val="0"/>
          <w:numId w:val="37"/>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infraestructura digital. </w:t>
      </w:r>
    </w:p>
    <w:p w14:paraId="1908ABE5" w14:textId="77777777" w:rsidR="00D32C1A" w:rsidRPr="006674D0" w:rsidRDefault="00D32C1A"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4. Fortalecer la cooperación universidad–empresa–Estado</w:t>
      </w:r>
    </w:p>
    <w:p w14:paraId="7CB71FFE"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Promover proyectos regionales orientados a:</w:t>
      </w:r>
    </w:p>
    <w:p w14:paraId="18534F22" w14:textId="77777777" w:rsidR="00D32C1A" w:rsidRPr="006674D0" w:rsidRDefault="00D32C1A" w:rsidP="006674D0">
      <w:pPr>
        <w:numPr>
          <w:ilvl w:val="0"/>
          <w:numId w:val="3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innovación aplicada; </w:t>
      </w:r>
    </w:p>
    <w:p w14:paraId="4F0F8891" w14:textId="77777777" w:rsidR="00D32C1A" w:rsidRPr="006674D0" w:rsidRDefault="00D32C1A" w:rsidP="006674D0">
      <w:pPr>
        <w:numPr>
          <w:ilvl w:val="0"/>
          <w:numId w:val="3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transferencia tecnológica; </w:t>
      </w:r>
    </w:p>
    <w:p w14:paraId="21F70BE1" w14:textId="77777777" w:rsidR="00D32C1A" w:rsidRPr="006674D0" w:rsidRDefault="00D32C1A" w:rsidP="006674D0">
      <w:pPr>
        <w:numPr>
          <w:ilvl w:val="0"/>
          <w:numId w:val="3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creación de empresas de base científica; </w:t>
      </w:r>
    </w:p>
    <w:p w14:paraId="1D8F6B1E" w14:textId="77777777" w:rsidR="00D32C1A" w:rsidRPr="006674D0" w:rsidRDefault="00D32C1A" w:rsidP="006674D0">
      <w:pPr>
        <w:numPr>
          <w:ilvl w:val="0"/>
          <w:numId w:val="38"/>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laboratorios colaborativos. </w:t>
      </w:r>
    </w:p>
    <w:p w14:paraId="6A2F83BE" w14:textId="77777777" w:rsidR="00D32C1A" w:rsidRPr="006674D0" w:rsidRDefault="00D32C1A"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5. Construir indicadores regionales sobre competencias para el siglo XXI</w:t>
      </w:r>
    </w:p>
    <w:p w14:paraId="3BDE091C"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región necesita medir:</w:t>
      </w:r>
    </w:p>
    <w:p w14:paraId="50103F07" w14:textId="77777777" w:rsidR="00D32C1A" w:rsidRPr="006674D0" w:rsidRDefault="00D32C1A" w:rsidP="006674D0">
      <w:pPr>
        <w:numPr>
          <w:ilvl w:val="0"/>
          <w:numId w:val="39"/>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pensamiento crítico; </w:t>
      </w:r>
    </w:p>
    <w:p w14:paraId="1A4ED0CD" w14:textId="77777777" w:rsidR="00D32C1A" w:rsidRPr="006674D0" w:rsidRDefault="00D32C1A" w:rsidP="006674D0">
      <w:pPr>
        <w:numPr>
          <w:ilvl w:val="0"/>
          <w:numId w:val="39"/>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creatividad; </w:t>
      </w:r>
    </w:p>
    <w:p w14:paraId="5CAD1978" w14:textId="77777777" w:rsidR="00D32C1A" w:rsidRPr="006674D0" w:rsidRDefault="00D32C1A" w:rsidP="006674D0">
      <w:pPr>
        <w:numPr>
          <w:ilvl w:val="0"/>
          <w:numId w:val="39"/>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lastRenderedPageBreak/>
        <w:t xml:space="preserve">competencias digitales; </w:t>
      </w:r>
    </w:p>
    <w:p w14:paraId="77B6F7FE" w14:textId="77777777" w:rsidR="00D32C1A" w:rsidRPr="006674D0" w:rsidRDefault="00D32C1A" w:rsidP="006674D0">
      <w:pPr>
        <w:numPr>
          <w:ilvl w:val="0"/>
          <w:numId w:val="39"/>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alfabetización en IA; </w:t>
      </w:r>
    </w:p>
    <w:p w14:paraId="4154BE97" w14:textId="77777777" w:rsidR="00D32C1A" w:rsidRPr="006674D0" w:rsidRDefault="00D32C1A" w:rsidP="006674D0">
      <w:pPr>
        <w:numPr>
          <w:ilvl w:val="0"/>
          <w:numId w:val="39"/>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innovación; </w:t>
      </w:r>
    </w:p>
    <w:p w14:paraId="6B206F4F" w14:textId="77777777" w:rsidR="00D32C1A" w:rsidRPr="006674D0" w:rsidRDefault="00D32C1A" w:rsidP="006674D0">
      <w:pPr>
        <w:numPr>
          <w:ilvl w:val="0"/>
          <w:numId w:val="39"/>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emprendimiento. </w:t>
      </w:r>
    </w:p>
    <w:p w14:paraId="005B0C27" w14:textId="77777777" w:rsidR="00D32C1A" w:rsidRPr="006674D0" w:rsidRDefault="00D32C1A"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6. Promover un Fondo Regional para Redes de Investigación</w:t>
      </w:r>
    </w:p>
    <w:p w14:paraId="3FEDDFC7"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Aunque la CEPAL no financia directamente proyectos, podría impulsar alianzas con bancos multilaterales y agencias de cooperación para apoyar redes regionales de investigación e innovación.</w:t>
      </w:r>
    </w:p>
    <w:p w14:paraId="7DDDDE4A" w14:textId="77777777" w:rsidR="00D32C1A" w:rsidRPr="006674D0" w:rsidRDefault="00D32C1A"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7. Fortalecer la evaluación del impacto de las políticas públicas</w:t>
      </w:r>
    </w:p>
    <w:p w14:paraId="43A5ABB4"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Desarrollar metodologías comunes que permitan comparar resultados entre países e identificar prácticas exitosas.</w:t>
      </w:r>
    </w:p>
    <w:p w14:paraId="612C2A62" w14:textId="77777777" w:rsidR="00D32C1A" w:rsidRPr="006674D0" w:rsidRDefault="00D32C1A"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8. Consolidar una Plataforma Regional de Buenas Prácticas</w:t>
      </w:r>
    </w:p>
    <w:p w14:paraId="7662D7E0"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Una plataforma abierta donde gobiernos, universidades y centros de investigación compartan experiencias replicables en educación, CTI y transformación digital.</w:t>
      </w:r>
    </w:p>
    <w:p w14:paraId="39905F73" w14:textId="77777777" w:rsidR="00D32C1A" w:rsidRPr="006674D0" w:rsidRDefault="00D32C1A"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9. Impulsar una mayor articulación con el sector productivo</w:t>
      </w:r>
    </w:p>
    <w:p w14:paraId="72AA7E77"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Fortalecer el diálogo con empresas tecnológicas, industrias emergentes y ecosistemas de innovación para alinear las políticas educativas con las necesidades del desarrollo productivo.</w:t>
      </w:r>
    </w:p>
    <w:p w14:paraId="6E56AB29" w14:textId="77777777" w:rsidR="00D32C1A" w:rsidRPr="006674D0" w:rsidRDefault="00D32C1A"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10. Reforzar la cooperación Sur-Sur y triangular</w:t>
      </w:r>
    </w:p>
    <w:p w14:paraId="0DF12FCB"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Promover proyectos conjuntos entre países latinoamericanos y con otras regiones para aprovechar capacidades complementarias, movilizar recursos y acelerar la difusión de innovaciones.</w:t>
      </w:r>
    </w:p>
    <w:p w14:paraId="76A66121" w14:textId="55FC4278" w:rsidR="00D32C1A" w:rsidRPr="006674D0" w:rsidRDefault="00D32C1A"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 xml:space="preserve">Conclusión </w:t>
      </w:r>
    </w:p>
    <w:p w14:paraId="67E93149"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 CEPAL ha demostrado una notable capacidad para renovar su pensamiento estratégico y situar a la educación, la educación superior, la ciencia, la tecnología y la innovación en el centro de la agenda del desarrollo sostenible de América Latina y el Caribe. Su producción técnica, su legitimidad regional y su capacidad para integrar agendas constituyen fortalezas indiscutibles.</w:t>
      </w:r>
    </w:p>
    <w:p w14:paraId="7814B8EC"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Sin embargo, el reto de la próxima década será cerrar la brecha entre el diseño de políticas y su implementación efectiva. Para ello, la CEPAL deberá fortalecer los mecanismos de seguimiento, promover una cooperación más orientada a resultados, consolidar espacios regionales de aprendizaje entre pares y ampliar la participación de universidades, empresas y centros de investigación en la construcción de soluciones innovadoras.</w:t>
      </w:r>
    </w:p>
    <w:p w14:paraId="4E073C28" w14:textId="77777777" w:rsidR="00D32C1A" w:rsidRPr="006674D0" w:rsidRDefault="00D32C1A"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lastRenderedPageBreak/>
        <w:t>Las recomendaciones propuestas buscan contribuir a que la Comisión evolucione desde un rol principalmente analítico hacia uno de mayor articulación e incidencia, potenciando su capacidad para acompañar a los países en la construcción de sistemas educativos y científicos más resilientes, inclusivos y orientados al conocimiento.</w:t>
      </w:r>
    </w:p>
    <w:p w14:paraId="4E451E44" w14:textId="77777777" w:rsidR="008B58E4" w:rsidRPr="006674D0" w:rsidRDefault="008B58E4"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10. Conclusiones generales</w:t>
      </w:r>
    </w:p>
    <w:p w14:paraId="4CA6F530" w14:textId="77777777" w:rsidR="008B58E4" w:rsidRPr="006674D0" w:rsidRDefault="008B58E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El análisis realizado permite concluir que la CEPAL ha consolidado durante el período 2021–2026 una de las propuestas más integrales para orientar el desarrollo de América Latina y el Caribe en un contexto marcado por la recuperación </w:t>
      </w:r>
      <w:proofErr w:type="spellStart"/>
      <w:r w:rsidRPr="006674D0">
        <w:rPr>
          <w:rFonts w:eastAsia="Times New Roman" w:cs="Times New Roman"/>
          <w:kern w:val="0"/>
          <w:lang w:eastAsia="es-CO"/>
          <w14:ligatures w14:val="none"/>
        </w:rPr>
        <w:t>pospandemia</w:t>
      </w:r>
      <w:proofErr w:type="spellEnd"/>
      <w:r w:rsidRPr="006674D0">
        <w:rPr>
          <w:rFonts w:eastAsia="Times New Roman" w:cs="Times New Roman"/>
          <w:kern w:val="0"/>
          <w:lang w:eastAsia="es-CO"/>
          <w14:ligatures w14:val="none"/>
        </w:rPr>
        <w:t>, la aceleración de la transformación digital, la emergencia de la inteligencia artificial y la persistencia de profundas desigualdades sociales y productivas.</w:t>
      </w:r>
    </w:p>
    <w:p w14:paraId="3C190E26" w14:textId="77777777" w:rsidR="008B58E4" w:rsidRPr="006674D0" w:rsidRDefault="008B58E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Una de las principales fortalezas de la Comisión ha sido situar a la educación, la educación superior, la ciencia, la tecnología y la innovación como componentes centrales de una estrategia de transformación productiva con igualdad y sostenibilidad. Este enfoque representa una evolución significativa respecto de visiones tradicionales que concebían estos ámbitos como políticas sectoriales independientes. En la propuesta de la CEPAL, el conocimiento constituye el principal activo estratégico para incrementar la productividad, reducir las brechas estructurales y fortalecer la resiliencia económica y social de la región.</w:t>
      </w:r>
    </w:p>
    <w:p w14:paraId="2840AE3C" w14:textId="77777777" w:rsidR="008B58E4" w:rsidRPr="006674D0" w:rsidRDefault="008B58E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En educación, la Comisión ha contribuido a orientar el debate regional sobre la recuperación de los aprendizajes, la reducción de las brechas digitales y la necesidad de fortalecer las capacidades docentes y los sistemas educativos. En educación superior, ha promovido una visión de universidades comprometidas con el desarrollo territorial, la innovación, la investigación aplicada y la cooperación internacional. En ciencia, tecnología e innovación, ha insistido en la necesidad de incrementar la inversión en investigación y desarrollo, fortalecer los sistemas nacionales de innovación y consolidar ecosistemas de cooperación entre universidades, empresas, gobiernos y sociedad civil.</w:t>
      </w:r>
    </w:p>
    <w:p w14:paraId="5468F2E3" w14:textId="77777777" w:rsidR="008B58E4" w:rsidRPr="006674D0" w:rsidRDefault="008B58E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No obstante, el estudio también evidencia que la capacidad transformadora de la CEPAL depende en gran medida de la apropiación de sus recomendaciones por parte de los Estados miembros. La Comisión posee una elevada autoridad técnica, pero no cuenta con instrumentos financieros propios para ejecutar programas de gran escala, por lo que la implementación de sus propuestas es desigual y está condicionada por factores políticos, institucionales y fiscales de cada país.</w:t>
      </w:r>
    </w:p>
    <w:p w14:paraId="593AC60E" w14:textId="53605DB9" w:rsidR="008B58E4" w:rsidRPr="006674D0" w:rsidRDefault="008B58E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Desde una perspectiva crítica, puede afirmarse que la CEPAL enfrenta el desafío de evolucionar desde una organización centrada en la generación de conocimiento hacia un actor con mayor capacidad para acompañar la implementación, el monitoreo y la evaluación de políticas públicas regionales. Asimismo, resulta conveniente profundizar el trabajo en áreas emergentes como la gobernanza de la inteligencia artificial, la innovación educativa, la ciencia abierta, las </w:t>
      </w:r>
      <w:r w:rsidR="00606ECF" w:rsidRPr="006674D0">
        <w:rPr>
          <w:rFonts w:eastAsia="Times New Roman" w:cs="Times New Roman"/>
          <w:kern w:val="0"/>
          <w:lang w:eastAsia="es-CO"/>
          <w14:ligatures w14:val="none"/>
        </w:rPr>
        <w:t>micro credenciales</w:t>
      </w:r>
      <w:r w:rsidRPr="006674D0">
        <w:rPr>
          <w:rFonts w:eastAsia="Times New Roman" w:cs="Times New Roman"/>
          <w:kern w:val="0"/>
          <w:lang w:eastAsia="es-CO"/>
          <w14:ligatures w14:val="none"/>
        </w:rPr>
        <w:t>, el aprendizaje permanente y la formación para la transición verde y digital.</w:t>
      </w:r>
    </w:p>
    <w:p w14:paraId="3ECCEDE3" w14:textId="77777777" w:rsidR="008B58E4" w:rsidRPr="006674D0" w:rsidRDefault="008B58E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En síntesis, la CEPAL continúa siendo un referente indispensable para la formulación de políticas públicas en América Latina y el Caribe. Su aporte será aún más relevante si logra </w:t>
      </w:r>
      <w:r w:rsidRPr="006674D0">
        <w:rPr>
          <w:rFonts w:eastAsia="Times New Roman" w:cs="Times New Roman"/>
          <w:kern w:val="0"/>
          <w:lang w:eastAsia="es-CO"/>
          <w14:ligatures w14:val="none"/>
        </w:rPr>
        <w:lastRenderedPageBreak/>
        <w:t>fortalecer la articulación entre producción de conocimiento, cooperación técnica e implementación efectiva de las transformaciones que demanda la región.</w:t>
      </w:r>
    </w:p>
    <w:p w14:paraId="5E28AF0A" w14:textId="77777777" w:rsidR="008B58E4" w:rsidRPr="006674D0" w:rsidRDefault="008B58E4"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11. Perspectivas hacia 2035</w:t>
      </w:r>
    </w:p>
    <w:p w14:paraId="59CFFB4E" w14:textId="77777777" w:rsidR="008B58E4" w:rsidRPr="006674D0" w:rsidRDefault="008B58E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De cara al año 2035, es posible identificar cinco tendencias que probablemente marcarán la agenda regional y en las cuales la CEPAL puede desempeñar un papel estratégico:</w:t>
      </w:r>
    </w:p>
    <w:p w14:paraId="1AE8D606" w14:textId="77777777" w:rsidR="008B58E4" w:rsidRPr="006674D0" w:rsidRDefault="008B58E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b/>
          <w:bCs/>
          <w:kern w:val="0"/>
          <w:lang w:eastAsia="es-CO"/>
          <w14:ligatures w14:val="none"/>
        </w:rPr>
        <w:t>1. Consolidación de la economía del conocimiento.</w:t>
      </w:r>
      <w:r w:rsidRPr="006674D0">
        <w:rPr>
          <w:rFonts w:eastAsia="Times New Roman" w:cs="Times New Roman"/>
          <w:kern w:val="0"/>
          <w:lang w:eastAsia="es-CO"/>
          <w14:ligatures w14:val="none"/>
        </w:rPr>
        <w:t xml:space="preserve"> El crecimiento económico dependerá cada vez más de la capacidad para generar, transferir y aplicar conocimiento. Las políticas educativas deberán alinearse con las necesidades de los sectores intensivos en tecnología.</w:t>
      </w:r>
    </w:p>
    <w:p w14:paraId="7167733A" w14:textId="77777777" w:rsidR="008B58E4" w:rsidRPr="006674D0" w:rsidRDefault="008B58E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b/>
          <w:bCs/>
          <w:kern w:val="0"/>
          <w:lang w:eastAsia="es-CO"/>
          <w14:ligatures w14:val="none"/>
        </w:rPr>
        <w:t>2. Transformación de la educación superior.</w:t>
      </w:r>
      <w:r w:rsidRPr="006674D0">
        <w:rPr>
          <w:rFonts w:eastAsia="Times New Roman" w:cs="Times New Roman"/>
          <w:kern w:val="0"/>
          <w:lang w:eastAsia="es-CO"/>
          <w14:ligatures w14:val="none"/>
        </w:rPr>
        <w:t xml:space="preserve"> Las universidades evolucionarán hacia modelos más flexibles, interdisciplinarios e internacionalizados, con mayor vinculación con los ecosistemas de innovación y el desarrollo territorial.</w:t>
      </w:r>
    </w:p>
    <w:p w14:paraId="28BC6A1D" w14:textId="77777777" w:rsidR="008B58E4" w:rsidRPr="006674D0" w:rsidRDefault="008B58E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b/>
          <w:bCs/>
          <w:kern w:val="0"/>
          <w:lang w:eastAsia="es-CO"/>
          <w14:ligatures w14:val="none"/>
        </w:rPr>
        <w:t>3. Inteligencia artificial y tecnologías emergentes.</w:t>
      </w:r>
      <w:r w:rsidRPr="006674D0">
        <w:rPr>
          <w:rFonts w:eastAsia="Times New Roman" w:cs="Times New Roman"/>
          <w:kern w:val="0"/>
          <w:lang w:eastAsia="es-CO"/>
          <w14:ligatures w14:val="none"/>
        </w:rPr>
        <w:t xml:space="preserve"> La incorporación de la IA, la computación cuántica, la biotecnología y otras tecnologías disruptivas exigirá nuevas capacidades regulatorias, científicas y educativas.</w:t>
      </w:r>
    </w:p>
    <w:p w14:paraId="5F3F9FB1" w14:textId="77777777" w:rsidR="008B58E4" w:rsidRPr="006674D0" w:rsidRDefault="008B58E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b/>
          <w:bCs/>
          <w:kern w:val="0"/>
          <w:lang w:eastAsia="es-CO"/>
          <w14:ligatures w14:val="none"/>
        </w:rPr>
        <w:t>4. Cooperación regional reforzada.</w:t>
      </w:r>
      <w:r w:rsidRPr="006674D0">
        <w:rPr>
          <w:rFonts w:eastAsia="Times New Roman" w:cs="Times New Roman"/>
          <w:kern w:val="0"/>
          <w:lang w:eastAsia="es-CO"/>
          <w14:ligatures w14:val="none"/>
        </w:rPr>
        <w:t xml:space="preserve"> La integración latinoamericana en materia de investigación, innovación y educación superior será un factor determinante para aumentar la competitividad internacional de la región.</w:t>
      </w:r>
    </w:p>
    <w:p w14:paraId="26DE3C3E" w14:textId="77777777" w:rsidR="008B58E4" w:rsidRPr="006674D0" w:rsidRDefault="008B58E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b/>
          <w:bCs/>
          <w:kern w:val="0"/>
          <w:lang w:eastAsia="es-CO"/>
          <w14:ligatures w14:val="none"/>
        </w:rPr>
        <w:t>5. Desarrollo sostenible y transición verde.</w:t>
      </w:r>
      <w:r w:rsidRPr="006674D0">
        <w:rPr>
          <w:rFonts w:eastAsia="Times New Roman" w:cs="Times New Roman"/>
          <w:kern w:val="0"/>
          <w:lang w:eastAsia="es-CO"/>
          <w14:ligatures w14:val="none"/>
        </w:rPr>
        <w:t xml:space="preserve"> La formación de talento para la economía circular, la descarbonización y la adaptación al cambio climático requerirá una estrecha articulación entre universidades, centros de investigación, empresas y gobiernos.</w:t>
      </w:r>
    </w:p>
    <w:p w14:paraId="14304984" w14:textId="77777777" w:rsidR="008B58E4" w:rsidRPr="006674D0" w:rsidRDefault="008B58E4"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Figuras sugeridas para el documento</w:t>
      </w:r>
    </w:p>
    <w:p w14:paraId="1B80FF3C" w14:textId="77777777" w:rsidR="008B58E4" w:rsidRPr="006674D0" w:rsidRDefault="008B58E4"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Figura 1. Evolución del enfoque estratégico de la CEPAL</w:t>
      </w:r>
    </w:p>
    <w:p w14:paraId="3ECC4FB4"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Desarrollo económico</w:t>
      </w:r>
    </w:p>
    <w:p w14:paraId="3F1A7AFE"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75ED2A80"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Desarrollo sostenible</w:t>
      </w:r>
    </w:p>
    <w:p w14:paraId="2684749A"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4279F46A"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Transformación productiva</w:t>
      </w:r>
    </w:p>
    <w:p w14:paraId="5BA25063"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7CF2C38C"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Economía del conocimiento</w:t>
      </w:r>
    </w:p>
    <w:p w14:paraId="0844CD0C"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527AEA26"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Educación + Ciencia + Innovación + IA</w:t>
      </w:r>
    </w:p>
    <w:p w14:paraId="49D8D854" w14:textId="77777777" w:rsidR="008B58E4" w:rsidRPr="006674D0" w:rsidRDefault="008B58E4"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Figura 2. Ecosistema regional del conocimiento</w:t>
      </w:r>
    </w:p>
    <w:p w14:paraId="1EEFE00A"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Gobierno</w:t>
      </w:r>
    </w:p>
    <w:p w14:paraId="7372AB15"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111A4176"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374E1705"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lastRenderedPageBreak/>
        <w:t>Universidades ─ Ciencia ─ Empresas</w:t>
      </w:r>
    </w:p>
    <w:p w14:paraId="49D5FBC6"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3128B66B"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Innovación</w:t>
      </w:r>
    </w:p>
    <w:p w14:paraId="01EAF866"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2E480625"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Desarrollo sostenible</w:t>
      </w:r>
    </w:p>
    <w:p w14:paraId="283DBFA7" w14:textId="77777777" w:rsidR="008B58E4" w:rsidRPr="006674D0" w:rsidRDefault="008B58E4"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Figura 3. Modelo propuesto por la CEPAL</w:t>
      </w:r>
    </w:p>
    <w:p w14:paraId="63EE339F"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Educación</w:t>
      </w:r>
    </w:p>
    <w:p w14:paraId="443F3F51"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496CD720"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Capital humano</w:t>
      </w:r>
    </w:p>
    <w:p w14:paraId="6F85B226"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77105F9A"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Investigación</w:t>
      </w:r>
    </w:p>
    <w:p w14:paraId="4A308444"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424EFF24"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Innovación</w:t>
      </w:r>
    </w:p>
    <w:p w14:paraId="6B9EEB22"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4AAF5623"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Productividad</w:t>
      </w:r>
    </w:p>
    <w:p w14:paraId="43884E03"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5F25A600"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Desarrollo sostenible</w:t>
      </w:r>
    </w:p>
    <w:p w14:paraId="32842542" w14:textId="77777777" w:rsidR="008B58E4" w:rsidRPr="006674D0" w:rsidRDefault="008B58E4"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Figura 4. Factores para fortalecer la CTI</w:t>
      </w:r>
    </w:p>
    <w:p w14:paraId="12963291"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Financiamiento</w:t>
      </w:r>
    </w:p>
    <w:p w14:paraId="271E9322"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5AFF4A81"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Capital humano</w:t>
      </w:r>
    </w:p>
    <w:p w14:paraId="0EDA17D3"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5FD0AEC6"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Infraestructura científica</w:t>
      </w:r>
    </w:p>
    <w:p w14:paraId="63CDD9D0"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6B29F260"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Universidades</w:t>
      </w:r>
    </w:p>
    <w:p w14:paraId="434449B5"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2DCC6FE9"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Empresas</w:t>
      </w:r>
    </w:p>
    <w:p w14:paraId="16EDF83E"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425917A6"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Cooperación regional</w:t>
      </w:r>
    </w:p>
    <w:p w14:paraId="1711EC79" w14:textId="77777777" w:rsidR="008B58E4" w:rsidRPr="006674D0" w:rsidRDefault="008B58E4" w:rsidP="006674D0">
      <w:pPr>
        <w:spacing w:before="100" w:beforeAutospacing="1" w:after="100" w:afterAutospacing="1" w:line="240" w:lineRule="auto"/>
        <w:jc w:val="both"/>
        <w:outlineLvl w:val="1"/>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Figura 5. Hoja de ruta hacia 2035</w:t>
      </w:r>
    </w:p>
    <w:p w14:paraId="25A98E23"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Educación de calidad</w:t>
      </w:r>
    </w:p>
    <w:p w14:paraId="74BEA6AF"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510D7CD6"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Competencias digitales</w:t>
      </w:r>
    </w:p>
    <w:p w14:paraId="0D7B01ED"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43058EF4"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Investigación científica</w:t>
      </w:r>
    </w:p>
    <w:p w14:paraId="474A06C6"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7DF2B57D"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Innovación</w:t>
      </w:r>
    </w:p>
    <w:p w14:paraId="63297B43"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496AA71C"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Transformación productiva</w:t>
      </w:r>
    </w:p>
    <w:p w14:paraId="1B99BAFC"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 xml:space="preserve">          ↓</w:t>
      </w:r>
    </w:p>
    <w:p w14:paraId="73A718E8" w14:textId="77777777" w:rsidR="008B58E4" w:rsidRPr="006674D0" w:rsidRDefault="008B58E4" w:rsidP="00667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kern w:val="0"/>
          <w:lang w:eastAsia="es-CO"/>
          <w14:ligatures w14:val="none"/>
        </w:rPr>
      </w:pPr>
      <w:r w:rsidRPr="006674D0">
        <w:rPr>
          <w:rFonts w:eastAsia="Times New Roman" w:cs="Courier New"/>
          <w:kern w:val="0"/>
          <w:lang w:eastAsia="es-CO"/>
          <w14:ligatures w14:val="none"/>
        </w:rPr>
        <w:t>Mayor bienestar</w:t>
      </w:r>
    </w:p>
    <w:p w14:paraId="216DC18F" w14:textId="77777777" w:rsidR="008B58E4" w:rsidRPr="006674D0" w:rsidRDefault="008B58E4"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lastRenderedPageBreak/>
        <w:t>Cuadro 1. Principales fortalezas de la CEPAL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16"/>
        <w:gridCol w:w="1576"/>
      </w:tblGrid>
      <w:tr w:rsidR="008B58E4" w:rsidRPr="006674D0" w14:paraId="2B422A06" w14:textId="77777777">
        <w:trPr>
          <w:tblHeader/>
          <w:tblCellSpacing w:w="15" w:type="dxa"/>
        </w:trPr>
        <w:tc>
          <w:tcPr>
            <w:tcW w:w="0" w:type="auto"/>
            <w:vAlign w:val="center"/>
            <w:hideMark/>
          </w:tcPr>
          <w:p w14:paraId="0AA74386" w14:textId="77777777" w:rsidR="008B58E4" w:rsidRPr="006674D0" w:rsidRDefault="008B58E4" w:rsidP="006674D0">
            <w:pPr>
              <w:spacing w:after="0" w:line="240" w:lineRule="auto"/>
              <w:jc w:val="both"/>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Dimensión</w:t>
            </w:r>
          </w:p>
        </w:tc>
        <w:tc>
          <w:tcPr>
            <w:tcW w:w="0" w:type="auto"/>
            <w:vAlign w:val="center"/>
            <w:hideMark/>
          </w:tcPr>
          <w:p w14:paraId="4DD6247A" w14:textId="77777777" w:rsidR="008B58E4" w:rsidRPr="006674D0" w:rsidRDefault="008B58E4" w:rsidP="006674D0">
            <w:pPr>
              <w:spacing w:after="0" w:line="240" w:lineRule="auto"/>
              <w:jc w:val="both"/>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Valor agregado</w:t>
            </w:r>
          </w:p>
        </w:tc>
      </w:tr>
      <w:tr w:rsidR="008B58E4" w:rsidRPr="006674D0" w14:paraId="6248918D" w14:textId="77777777">
        <w:trPr>
          <w:tblCellSpacing w:w="15" w:type="dxa"/>
        </w:trPr>
        <w:tc>
          <w:tcPr>
            <w:tcW w:w="0" w:type="auto"/>
            <w:vAlign w:val="center"/>
            <w:hideMark/>
          </w:tcPr>
          <w:p w14:paraId="2452E985"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Producción de conocimiento</w:t>
            </w:r>
          </w:p>
        </w:tc>
        <w:tc>
          <w:tcPr>
            <w:tcW w:w="0" w:type="auto"/>
            <w:vAlign w:val="center"/>
            <w:hideMark/>
          </w:tcPr>
          <w:p w14:paraId="1BD555C8"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Muy alto</w:t>
            </w:r>
          </w:p>
        </w:tc>
      </w:tr>
      <w:tr w:rsidR="008B58E4" w:rsidRPr="006674D0" w14:paraId="1D77093B" w14:textId="77777777">
        <w:trPr>
          <w:tblCellSpacing w:w="15" w:type="dxa"/>
        </w:trPr>
        <w:tc>
          <w:tcPr>
            <w:tcW w:w="0" w:type="auto"/>
            <w:vAlign w:val="center"/>
            <w:hideMark/>
          </w:tcPr>
          <w:p w14:paraId="1504BB65"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Cooperación regional</w:t>
            </w:r>
          </w:p>
        </w:tc>
        <w:tc>
          <w:tcPr>
            <w:tcW w:w="0" w:type="auto"/>
            <w:vAlign w:val="center"/>
            <w:hideMark/>
          </w:tcPr>
          <w:p w14:paraId="7195DE1E"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Muy alta</w:t>
            </w:r>
          </w:p>
        </w:tc>
      </w:tr>
      <w:tr w:rsidR="008B58E4" w:rsidRPr="006674D0" w14:paraId="6E4D23B8" w14:textId="77777777">
        <w:trPr>
          <w:tblCellSpacing w:w="15" w:type="dxa"/>
        </w:trPr>
        <w:tc>
          <w:tcPr>
            <w:tcW w:w="0" w:type="auto"/>
            <w:vAlign w:val="center"/>
            <w:hideMark/>
          </w:tcPr>
          <w:p w14:paraId="7AA9D84C"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Credibilidad técnica</w:t>
            </w:r>
          </w:p>
        </w:tc>
        <w:tc>
          <w:tcPr>
            <w:tcW w:w="0" w:type="auto"/>
            <w:vAlign w:val="center"/>
            <w:hideMark/>
          </w:tcPr>
          <w:p w14:paraId="60DBE0D5"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Muy alta</w:t>
            </w:r>
          </w:p>
        </w:tc>
      </w:tr>
      <w:tr w:rsidR="008B58E4" w:rsidRPr="006674D0" w14:paraId="4DFA3161" w14:textId="77777777">
        <w:trPr>
          <w:tblCellSpacing w:w="15" w:type="dxa"/>
        </w:trPr>
        <w:tc>
          <w:tcPr>
            <w:tcW w:w="0" w:type="auto"/>
            <w:vAlign w:val="center"/>
            <w:hideMark/>
          </w:tcPr>
          <w:p w14:paraId="2060299B"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Producción estadística</w:t>
            </w:r>
          </w:p>
        </w:tc>
        <w:tc>
          <w:tcPr>
            <w:tcW w:w="0" w:type="auto"/>
            <w:vAlign w:val="center"/>
            <w:hideMark/>
          </w:tcPr>
          <w:p w14:paraId="2428D82E"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Muy alta</w:t>
            </w:r>
          </w:p>
        </w:tc>
      </w:tr>
      <w:tr w:rsidR="008B58E4" w:rsidRPr="006674D0" w14:paraId="0553D65E" w14:textId="77777777">
        <w:trPr>
          <w:tblCellSpacing w:w="15" w:type="dxa"/>
        </w:trPr>
        <w:tc>
          <w:tcPr>
            <w:tcW w:w="0" w:type="auto"/>
            <w:vAlign w:val="center"/>
            <w:hideMark/>
          </w:tcPr>
          <w:p w14:paraId="124539D2"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Pensamiento estratégico</w:t>
            </w:r>
          </w:p>
        </w:tc>
        <w:tc>
          <w:tcPr>
            <w:tcW w:w="0" w:type="auto"/>
            <w:vAlign w:val="center"/>
            <w:hideMark/>
          </w:tcPr>
          <w:p w14:paraId="04C7F021"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Muy alto</w:t>
            </w:r>
          </w:p>
        </w:tc>
      </w:tr>
    </w:tbl>
    <w:p w14:paraId="2B55F8FF" w14:textId="77777777" w:rsidR="008B58E4" w:rsidRPr="006674D0" w:rsidRDefault="008B58E4"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Cuadro 2. Principales desafíos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87"/>
        <w:gridCol w:w="662"/>
      </w:tblGrid>
      <w:tr w:rsidR="008B58E4" w:rsidRPr="006674D0" w14:paraId="7DAF84F0" w14:textId="77777777">
        <w:trPr>
          <w:tblHeader/>
          <w:tblCellSpacing w:w="15" w:type="dxa"/>
        </w:trPr>
        <w:tc>
          <w:tcPr>
            <w:tcW w:w="0" w:type="auto"/>
            <w:vAlign w:val="center"/>
            <w:hideMark/>
          </w:tcPr>
          <w:p w14:paraId="1C3E216F" w14:textId="77777777" w:rsidR="008B58E4" w:rsidRPr="006674D0" w:rsidRDefault="008B58E4" w:rsidP="006674D0">
            <w:pPr>
              <w:spacing w:after="0" w:line="240" w:lineRule="auto"/>
              <w:jc w:val="both"/>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Desafío</w:t>
            </w:r>
          </w:p>
        </w:tc>
        <w:tc>
          <w:tcPr>
            <w:tcW w:w="0" w:type="auto"/>
            <w:vAlign w:val="center"/>
            <w:hideMark/>
          </w:tcPr>
          <w:p w14:paraId="16956E27" w14:textId="77777777" w:rsidR="008B58E4" w:rsidRPr="006674D0" w:rsidRDefault="008B58E4" w:rsidP="006674D0">
            <w:pPr>
              <w:spacing w:after="0" w:line="240" w:lineRule="auto"/>
              <w:jc w:val="both"/>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Nivel</w:t>
            </w:r>
          </w:p>
        </w:tc>
      </w:tr>
      <w:tr w:rsidR="008B58E4" w:rsidRPr="006674D0" w14:paraId="1006347D" w14:textId="77777777">
        <w:trPr>
          <w:tblCellSpacing w:w="15" w:type="dxa"/>
        </w:trPr>
        <w:tc>
          <w:tcPr>
            <w:tcW w:w="0" w:type="auto"/>
            <w:vAlign w:val="center"/>
            <w:hideMark/>
          </w:tcPr>
          <w:p w14:paraId="518BE2EC"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Implementación de políticas</w:t>
            </w:r>
          </w:p>
        </w:tc>
        <w:tc>
          <w:tcPr>
            <w:tcW w:w="0" w:type="auto"/>
            <w:vAlign w:val="center"/>
            <w:hideMark/>
          </w:tcPr>
          <w:p w14:paraId="7E8D5BC3"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Alto</w:t>
            </w:r>
          </w:p>
        </w:tc>
      </w:tr>
      <w:tr w:rsidR="008B58E4" w:rsidRPr="006674D0" w14:paraId="73654AAC" w14:textId="77777777">
        <w:trPr>
          <w:tblCellSpacing w:w="15" w:type="dxa"/>
        </w:trPr>
        <w:tc>
          <w:tcPr>
            <w:tcW w:w="0" w:type="auto"/>
            <w:vAlign w:val="center"/>
            <w:hideMark/>
          </w:tcPr>
          <w:p w14:paraId="59186192"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Financiamiento</w:t>
            </w:r>
          </w:p>
        </w:tc>
        <w:tc>
          <w:tcPr>
            <w:tcW w:w="0" w:type="auto"/>
            <w:vAlign w:val="center"/>
            <w:hideMark/>
          </w:tcPr>
          <w:p w14:paraId="176406CB"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Alto</w:t>
            </w:r>
          </w:p>
        </w:tc>
      </w:tr>
      <w:tr w:rsidR="008B58E4" w:rsidRPr="006674D0" w14:paraId="1D549ED2" w14:textId="77777777">
        <w:trPr>
          <w:tblCellSpacing w:w="15" w:type="dxa"/>
        </w:trPr>
        <w:tc>
          <w:tcPr>
            <w:tcW w:w="0" w:type="auto"/>
            <w:vAlign w:val="center"/>
            <w:hideMark/>
          </w:tcPr>
          <w:p w14:paraId="0FEE99C7"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Brechas digitales</w:t>
            </w:r>
          </w:p>
        </w:tc>
        <w:tc>
          <w:tcPr>
            <w:tcW w:w="0" w:type="auto"/>
            <w:vAlign w:val="center"/>
            <w:hideMark/>
          </w:tcPr>
          <w:p w14:paraId="4F8E3358"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Alto</w:t>
            </w:r>
          </w:p>
        </w:tc>
      </w:tr>
      <w:tr w:rsidR="008B58E4" w:rsidRPr="006674D0" w14:paraId="71515D8F" w14:textId="77777777">
        <w:trPr>
          <w:tblCellSpacing w:w="15" w:type="dxa"/>
        </w:trPr>
        <w:tc>
          <w:tcPr>
            <w:tcW w:w="0" w:type="auto"/>
            <w:vAlign w:val="center"/>
            <w:hideMark/>
          </w:tcPr>
          <w:p w14:paraId="525DAEB0"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Coordinación regional</w:t>
            </w:r>
          </w:p>
        </w:tc>
        <w:tc>
          <w:tcPr>
            <w:tcW w:w="0" w:type="auto"/>
            <w:vAlign w:val="center"/>
            <w:hideMark/>
          </w:tcPr>
          <w:p w14:paraId="6F036BF4"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Medio</w:t>
            </w:r>
          </w:p>
        </w:tc>
      </w:tr>
      <w:tr w:rsidR="008B58E4" w:rsidRPr="006674D0" w14:paraId="44BA031B" w14:textId="77777777">
        <w:trPr>
          <w:tblCellSpacing w:w="15" w:type="dxa"/>
        </w:trPr>
        <w:tc>
          <w:tcPr>
            <w:tcW w:w="0" w:type="auto"/>
            <w:vAlign w:val="center"/>
            <w:hideMark/>
          </w:tcPr>
          <w:p w14:paraId="597F22C5"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Seguimiento de resultados</w:t>
            </w:r>
          </w:p>
        </w:tc>
        <w:tc>
          <w:tcPr>
            <w:tcW w:w="0" w:type="auto"/>
            <w:vAlign w:val="center"/>
            <w:hideMark/>
          </w:tcPr>
          <w:p w14:paraId="7D65C817"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Alto</w:t>
            </w:r>
          </w:p>
        </w:tc>
      </w:tr>
    </w:tbl>
    <w:p w14:paraId="792E421D" w14:textId="77777777" w:rsidR="008B58E4" w:rsidRPr="006674D0" w:rsidRDefault="008B58E4"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Cuadro 3. Prioridades hacia 2035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09"/>
        <w:gridCol w:w="1901"/>
      </w:tblGrid>
      <w:tr w:rsidR="008B58E4" w:rsidRPr="006674D0" w14:paraId="0D96505D" w14:textId="77777777">
        <w:trPr>
          <w:tblHeader/>
          <w:tblCellSpacing w:w="15" w:type="dxa"/>
        </w:trPr>
        <w:tc>
          <w:tcPr>
            <w:tcW w:w="0" w:type="auto"/>
            <w:vAlign w:val="center"/>
            <w:hideMark/>
          </w:tcPr>
          <w:p w14:paraId="7EAB3CB4" w14:textId="77777777" w:rsidR="008B58E4" w:rsidRPr="006674D0" w:rsidRDefault="008B58E4" w:rsidP="006674D0">
            <w:pPr>
              <w:spacing w:after="0" w:line="240" w:lineRule="auto"/>
              <w:jc w:val="both"/>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Prioridad</w:t>
            </w:r>
          </w:p>
        </w:tc>
        <w:tc>
          <w:tcPr>
            <w:tcW w:w="0" w:type="auto"/>
            <w:vAlign w:val="center"/>
            <w:hideMark/>
          </w:tcPr>
          <w:p w14:paraId="0A44D46F" w14:textId="77777777" w:rsidR="008B58E4" w:rsidRPr="006674D0" w:rsidRDefault="008B58E4" w:rsidP="006674D0">
            <w:pPr>
              <w:spacing w:after="0" w:line="240" w:lineRule="auto"/>
              <w:jc w:val="both"/>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Impacto esperado</w:t>
            </w:r>
          </w:p>
        </w:tc>
      </w:tr>
      <w:tr w:rsidR="008B58E4" w:rsidRPr="006674D0" w14:paraId="10ACAB0F" w14:textId="77777777">
        <w:trPr>
          <w:tblCellSpacing w:w="15" w:type="dxa"/>
        </w:trPr>
        <w:tc>
          <w:tcPr>
            <w:tcW w:w="0" w:type="auto"/>
            <w:vAlign w:val="center"/>
            <w:hideMark/>
          </w:tcPr>
          <w:p w14:paraId="5A95AF70"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Inteligencia Artificial</w:t>
            </w:r>
          </w:p>
        </w:tc>
        <w:tc>
          <w:tcPr>
            <w:tcW w:w="0" w:type="auto"/>
            <w:vAlign w:val="center"/>
            <w:hideMark/>
          </w:tcPr>
          <w:p w14:paraId="3B78499C"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Muy alto</w:t>
            </w:r>
          </w:p>
        </w:tc>
      </w:tr>
      <w:tr w:rsidR="008B58E4" w:rsidRPr="006674D0" w14:paraId="17C2C9CE" w14:textId="77777777">
        <w:trPr>
          <w:tblCellSpacing w:w="15" w:type="dxa"/>
        </w:trPr>
        <w:tc>
          <w:tcPr>
            <w:tcW w:w="0" w:type="auto"/>
            <w:vAlign w:val="center"/>
            <w:hideMark/>
          </w:tcPr>
          <w:p w14:paraId="4B2B1991"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Ciencia abierta</w:t>
            </w:r>
          </w:p>
        </w:tc>
        <w:tc>
          <w:tcPr>
            <w:tcW w:w="0" w:type="auto"/>
            <w:vAlign w:val="center"/>
            <w:hideMark/>
          </w:tcPr>
          <w:p w14:paraId="4F80B594"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Alto</w:t>
            </w:r>
          </w:p>
        </w:tc>
      </w:tr>
      <w:tr w:rsidR="008B58E4" w:rsidRPr="006674D0" w14:paraId="4A3A41DF" w14:textId="77777777">
        <w:trPr>
          <w:tblCellSpacing w:w="15" w:type="dxa"/>
        </w:trPr>
        <w:tc>
          <w:tcPr>
            <w:tcW w:w="0" w:type="auto"/>
            <w:vAlign w:val="center"/>
            <w:hideMark/>
          </w:tcPr>
          <w:p w14:paraId="26C4B1EA"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Educación digital</w:t>
            </w:r>
          </w:p>
        </w:tc>
        <w:tc>
          <w:tcPr>
            <w:tcW w:w="0" w:type="auto"/>
            <w:vAlign w:val="center"/>
            <w:hideMark/>
          </w:tcPr>
          <w:p w14:paraId="62EA1BD2"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Muy alto</w:t>
            </w:r>
          </w:p>
        </w:tc>
      </w:tr>
      <w:tr w:rsidR="008B58E4" w:rsidRPr="006674D0" w14:paraId="2EA991DB" w14:textId="77777777">
        <w:trPr>
          <w:tblCellSpacing w:w="15" w:type="dxa"/>
        </w:trPr>
        <w:tc>
          <w:tcPr>
            <w:tcW w:w="0" w:type="auto"/>
            <w:vAlign w:val="center"/>
            <w:hideMark/>
          </w:tcPr>
          <w:p w14:paraId="37FDE825"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Innovación empresarial</w:t>
            </w:r>
          </w:p>
        </w:tc>
        <w:tc>
          <w:tcPr>
            <w:tcW w:w="0" w:type="auto"/>
            <w:vAlign w:val="center"/>
            <w:hideMark/>
          </w:tcPr>
          <w:p w14:paraId="22BFAF02"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Muy alto</w:t>
            </w:r>
          </w:p>
        </w:tc>
      </w:tr>
      <w:tr w:rsidR="008B58E4" w:rsidRPr="006674D0" w14:paraId="42FC17F7" w14:textId="77777777">
        <w:trPr>
          <w:tblCellSpacing w:w="15" w:type="dxa"/>
        </w:trPr>
        <w:tc>
          <w:tcPr>
            <w:tcW w:w="0" w:type="auto"/>
            <w:vAlign w:val="center"/>
            <w:hideMark/>
          </w:tcPr>
          <w:p w14:paraId="3A4D45E4"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Cooperación científica</w:t>
            </w:r>
          </w:p>
        </w:tc>
        <w:tc>
          <w:tcPr>
            <w:tcW w:w="0" w:type="auto"/>
            <w:vAlign w:val="center"/>
            <w:hideMark/>
          </w:tcPr>
          <w:p w14:paraId="417F12AC"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Alto</w:t>
            </w:r>
          </w:p>
        </w:tc>
      </w:tr>
    </w:tbl>
    <w:p w14:paraId="429AB7D4" w14:textId="77777777" w:rsidR="008B58E4" w:rsidRPr="006674D0" w:rsidRDefault="008B58E4"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Cuadro 4. Recomendaciones estratégicas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52"/>
        <w:gridCol w:w="1461"/>
      </w:tblGrid>
      <w:tr w:rsidR="008B58E4" w:rsidRPr="006674D0" w14:paraId="1D700FC5" w14:textId="77777777">
        <w:trPr>
          <w:tblHeader/>
          <w:tblCellSpacing w:w="15" w:type="dxa"/>
        </w:trPr>
        <w:tc>
          <w:tcPr>
            <w:tcW w:w="0" w:type="auto"/>
            <w:vAlign w:val="center"/>
            <w:hideMark/>
          </w:tcPr>
          <w:p w14:paraId="448B258B" w14:textId="77777777" w:rsidR="008B58E4" w:rsidRPr="006674D0" w:rsidRDefault="008B58E4" w:rsidP="006674D0">
            <w:pPr>
              <w:spacing w:after="0" w:line="240" w:lineRule="auto"/>
              <w:jc w:val="both"/>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Recomendación</w:t>
            </w:r>
          </w:p>
        </w:tc>
        <w:tc>
          <w:tcPr>
            <w:tcW w:w="0" w:type="auto"/>
            <w:vAlign w:val="center"/>
            <w:hideMark/>
          </w:tcPr>
          <w:p w14:paraId="292C240F" w14:textId="77777777" w:rsidR="008B58E4" w:rsidRPr="006674D0" w:rsidRDefault="008B58E4" w:rsidP="006674D0">
            <w:pPr>
              <w:spacing w:after="0" w:line="240" w:lineRule="auto"/>
              <w:jc w:val="both"/>
              <w:rPr>
                <w:rFonts w:eastAsia="Times New Roman" w:cs="Times New Roman"/>
                <w:b/>
                <w:bCs/>
                <w:kern w:val="0"/>
                <w:lang w:eastAsia="es-CO"/>
                <w14:ligatures w14:val="none"/>
              </w:rPr>
            </w:pPr>
            <w:r w:rsidRPr="006674D0">
              <w:rPr>
                <w:rFonts w:eastAsia="Times New Roman" w:cs="Times New Roman"/>
                <w:b/>
                <w:bCs/>
                <w:kern w:val="0"/>
                <w:lang w:eastAsia="es-CO"/>
                <w14:ligatures w14:val="none"/>
              </w:rPr>
              <w:t>Horizonte</w:t>
            </w:r>
          </w:p>
        </w:tc>
      </w:tr>
      <w:tr w:rsidR="008B58E4" w:rsidRPr="006674D0" w14:paraId="454A7E3B" w14:textId="77777777">
        <w:trPr>
          <w:tblCellSpacing w:w="15" w:type="dxa"/>
        </w:trPr>
        <w:tc>
          <w:tcPr>
            <w:tcW w:w="0" w:type="auto"/>
            <w:vAlign w:val="center"/>
            <w:hideMark/>
          </w:tcPr>
          <w:p w14:paraId="6F19B482"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Observatorio regional</w:t>
            </w:r>
          </w:p>
        </w:tc>
        <w:tc>
          <w:tcPr>
            <w:tcW w:w="0" w:type="auto"/>
            <w:vAlign w:val="center"/>
            <w:hideMark/>
          </w:tcPr>
          <w:p w14:paraId="482EC50E"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Corto plazo</w:t>
            </w:r>
          </w:p>
        </w:tc>
      </w:tr>
      <w:tr w:rsidR="008B58E4" w:rsidRPr="006674D0" w14:paraId="456227D2" w14:textId="77777777">
        <w:trPr>
          <w:tblCellSpacing w:w="15" w:type="dxa"/>
        </w:trPr>
        <w:tc>
          <w:tcPr>
            <w:tcW w:w="0" w:type="auto"/>
            <w:vAlign w:val="center"/>
            <w:hideMark/>
          </w:tcPr>
          <w:p w14:paraId="55D97699"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Agenda regional de IA</w:t>
            </w:r>
          </w:p>
        </w:tc>
        <w:tc>
          <w:tcPr>
            <w:tcW w:w="0" w:type="auto"/>
            <w:vAlign w:val="center"/>
            <w:hideMark/>
          </w:tcPr>
          <w:p w14:paraId="12A7AB45"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Corto plazo</w:t>
            </w:r>
          </w:p>
        </w:tc>
      </w:tr>
      <w:tr w:rsidR="008B58E4" w:rsidRPr="006674D0" w14:paraId="57426EA6" w14:textId="77777777">
        <w:trPr>
          <w:tblCellSpacing w:w="15" w:type="dxa"/>
        </w:trPr>
        <w:tc>
          <w:tcPr>
            <w:tcW w:w="0" w:type="auto"/>
            <w:vAlign w:val="center"/>
            <w:hideMark/>
          </w:tcPr>
          <w:p w14:paraId="619E6E24"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Fondo para investigación</w:t>
            </w:r>
          </w:p>
        </w:tc>
        <w:tc>
          <w:tcPr>
            <w:tcW w:w="0" w:type="auto"/>
            <w:vAlign w:val="center"/>
            <w:hideMark/>
          </w:tcPr>
          <w:p w14:paraId="15F44687"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Mediano plazo</w:t>
            </w:r>
          </w:p>
        </w:tc>
      </w:tr>
      <w:tr w:rsidR="008B58E4" w:rsidRPr="006674D0" w14:paraId="7E83C344" w14:textId="77777777">
        <w:trPr>
          <w:tblCellSpacing w:w="15" w:type="dxa"/>
        </w:trPr>
        <w:tc>
          <w:tcPr>
            <w:tcW w:w="0" w:type="auto"/>
            <w:vAlign w:val="center"/>
            <w:hideMark/>
          </w:tcPr>
          <w:p w14:paraId="2A9BCCB1"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Indicadores regionales</w:t>
            </w:r>
          </w:p>
        </w:tc>
        <w:tc>
          <w:tcPr>
            <w:tcW w:w="0" w:type="auto"/>
            <w:vAlign w:val="center"/>
            <w:hideMark/>
          </w:tcPr>
          <w:p w14:paraId="36087BD7"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Mediano plazo</w:t>
            </w:r>
          </w:p>
        </w:tc>
      </w:tr>
      <w:tr w:rsidR="008B58E4" w:rsidRPr="006674D0" w14:paraId="0333A67D" w14:textId="77777777">
        <w:trPr>
          <w:tblCellSpacing w:w="15" w:type="dxa"/>
        </w:trPr>
        <w:tc>
          <w:tcPr>
            <w:tcW w:w="0" w:type="auto"/>
            <w:vAlign w:val="center"/>
            <w:hideMark/>
          </w:tcPr>
          <w:p w14:paraId="1FE6F194"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Redes universitarias</w:t>
            </w:r>
          </w:p>
        </w:tc>
        <w:tc>
          <w:tcPr>
            <w:tcW w:w="0" w:type="auto"/>
            <w:vAlign w:val="center"/>
            <w:hideMark/>
          </w:tcPr>
          <w:p w14:paraId="79CE8790" w14:textId="77777777" w:rsidR="008B58E4" w:rsidRPr="006674D0" w:rsidRDefault="008B58E4" w:rsidP="006674D0">
            <w:pPr>
              <w:spacing w:after="0"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Largo plazo</w:t>
            </w:r>
          </w:p>
        </w:tc>
      </w:tr>
    </w:tbl>
    <w:p w14:paraId="1D31B75A" w14:textId="77777777" w:rsidR="008B58E4" w:rsidRPr="006674D0" w:rsidRDefault="008B58E4"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Reflexión final</w:t>
      </w:r>
    </w:p>
    <w:p w14:paraId="1753B31E" w14:textId="77777777" w:rsidR="008B58E4" w:rsidRPr="006674D0" w:rsidRDefault="008B58E4" w:rsidP="006674D0">
      <w:p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La CEPAL ha demostrado, a lo largo de más de siete décadas, una notable capacidad para interpretar las transformaciones económicas y sociales de América Latina y el Caribe. En los últimos cinco años, esta capacidad se ha reflejado en una agenda que reconoce al conocimiento como el principal motor del desarrollo sostenible. El desafío para el futuro </w:t>
      </w:r>
      <w:r w:rsidRPr="006674D0">
        <w:rPr>
          <w:rFonts w:eastAsia="Times New Roman" w:cs="Times New Roman"/>
          <w:kern w:val="0"/>
          <w:lang w:eastAsia="es-CO"/>
          <w14:ligatures w14:val="none"/>
        </w:rPr>
        <w:lastRenderedPageBreak/>
        <w:t>consiste en traducir ese liderazgo intelectual en una mayor incidencia sobre las políticas públicas y en resultados tangibles para los sistemas educativos, científicos y de innovación de la región.</w:t>
      </w:r>
    </w:p>
    <w:p w14:paraId="26E146D5" w14:textId="77777777" w:rsidR="008B58E4" w:rsidRPr="006674D0" w:rsidRDefault="008B58E4" w:rsidP="006674D0">
      <w:pPr>
        <w:spacing w:before="100" w:beforeAutospacing="1" w:after="100" w:afterAutospacing="1" w:line="240" w:lineRule="auto"/>
        <w:jc w:val="both"/>
        <w:outlineLvl w:val="0"/>
        <w:rPr>
          <w:rFonts w:eastAsia="Times New Roman" w:cs="Times New Roman"/>
          <w:b/>
          <w:bCs/>
          <w:kern w:val="36"/>
          <w:lang w:eastAsia="es-CO"/>
          <w14:ligatures w14:val="none"/>
        </w:rPr>
      </w:pPr>
      <w:r w:rsidRPr="006674D0">
        <w:rPr>
          <w:rFonts w:eastAsia="Times New Roman" w:cs="Times New Roman"/>
          <w:b/>
          <w:bCs/>
          <w:kern w:val="36"/>
          <w:lang w:eastAsia="es-CO"/>
          <w14:ligatures w14:val="none"/>
        </w:rPr>
        <w:t>Bibliografía básica (APA 7.ª edición)</w:t>
      </w:r>
    </w:p>
    <w:p w14:paraId="2B6728F5" w14:textId="77777777" w:rsidR="008B58E4" w:rsidRPr="006674D0" w:rsidRDefault="008B58E4" w:rsidP="006674D0">
      <w:pPr>
        <w:numPr>
          <w:ilvl w:val="0"/>
          <w:numId w:val="4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Comisión Económica para América Latina y el Caribe. (2022). </w:t>
      </w:r>
      <w:r w:rsidRPr="006674D0">
        <w:rPr>
          <w:rFonts w:eastAsia="Times New Roman" w:cs="Times New Roman"/>
          <w:i/>
          <w:iCs/>
          <w:kern w:val="0"/>
          <w:lang w:eastAsia="es-CO"/>
          <w14:ligatures w14:val="none"/>
        </w:rPr>
        <w:t>Ciencia, tecnología e innovación para un desarrollo productivo, sostenible e inclusivo</w:t>
      </w:r>
      <w:r w:rsidRPr="006674D0">
        <w:rPr>
          <w:rFonts w:eastAsia="Times New Roman" w:cs="Times New Roman"/>
          <w:kern w:val="0"/>
          <w:lang w:eastAsia="es-CO"/>
          <w14:ligatures w14:val="none"/>
        </w:rPr>
        <w:t xml:space="preserve">. Santiago de Chile: CEPAL. </w:t>
      </w:r>
    </w:p>
    <w:p w14:paraId="2F9AFA3C" w14:textId="77777777" w:rsidR="008B58E4" w:rsidRPr="006674D0" w:rsidRDefault="008B58E4" w:rsidP="006674D0">
      <w:pPr>
        <w:numPr>
          <w:ilvl w:val="0"/>
          <w:numId w:val="4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Comisión Económica para América Latina y el Caribe. (2022). </w:t>
      </w:r>
      <w:r w:rsidRPr="006674D0">
        <w:rPr>
          <w:rFonts w:eastAsia="Times New Roman" w:cs="Times New Roman"/>
          <w:i/>
          <w:iCs/>
          <w:kern w:val="0"/>
          <w:lang w:eastAsia="es-CO"/>
          <w14:ligatures w14:val="none"/>
        </w:rPr>
        <w:t>Panorama Social de América Latina</w:t>
      </w:r>
      <w:r w:rsidRPr="006674D0">
        <w:rPr>
          <w:rFonts w:eastAsia="Times New Roman" w:cs="Times New Roman"/>
          <w:kern w:val="0"/>
          <w:lang w:eastAsia="es-CO"/>
          <w14:ligatures w14:val="none"/>
        </w:rPr>
        <w:t xml:space="preserve">. Santiago de Chile: CEPAL. </w:t>
      </w:r>
    </w:p>
    <w:p w14:paraId="677EACF8" w14:textId="77777777" w:rsidR="008B58E4" w:rsidRPr="006674D0" w:rsidRDefault="008B58E4" w:rsidP="006674D0">
      <w:pPr>
        <w:numPr>
          <w:ilvl w:val="0"/>
          <w:numId w:val="4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Comisión Económica para América Latina y el Caribe. (2023). </w:t>
      </w:r>
      <w:r w:rsidRPr="006674D0">
        <w:rPr>
          <w:rFonts w:eastAsia="Times New Roman" w:cs="Times New Roman"/>
          <w:i/>
          <w:iCs/>
          <w:kern w:val="0"/>
          <w:lang w:eastAsia="es-CO"/>
          <w14:ligatures w14:val="none"/>
        </w:rPr>
        <w:t>Estudio Económico de América Latina y el Caribe</w:t>
      </w:r>
      <w:r w:rsidRPr="006674D0">
        <w:rPr>
          <w:rFonts w:eastAsia="Times New Roman" w:cs="Times New Roman"/>
          <w:kern w:val="0"/>
          <w:lang w:eastAsia="es-CO"/>
          <w14:ligatures w14:val="none"/>
        </w:rPr>
        <w:t xml:space="preserve">. Santiago de Chile: CEPAL. </w:t>
      </w:r>
    </w:p>
    <w:p w14:paraId="01BE8E23" w14:textId="77777777" w:rsidR="008B58E4" w:rsidRPr="006674D0" w:rsidRDefault="008B58E4" w:rsidP="006674D0">
      <w:pPr>
        <w:numPr>
          <w:ilvl w:val="0"/>
          <w:numId w:val="4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Comisión Económica para América Latina y el Caribe. (2024). </w:t>
      </w:r>
      <w:r w:rsidRPr="006674D0">
        <w:rPr>
          <w:rFonts w:eastAsia="Times New Roman" w:cs="Times New Roman"/>
          <w:i/>
          <w:iCs/>
          <w:kern w:val="0"/>
          <w:lang w:eastAsia="es-CO"/>
          <w14:ligatures w14:val="none"/>
        </w:rPr>
        <w:t>Balance Preliminar de las Economías de América Latina y el Caribe</w:t>
      </w:r>
      <w:r w:rsidRPr="006674D0">
        <w:rPr>
          <w:rFonts w:eastAsia="Times New Roman" w:cs="Times New Roman"/>
          <w:kern w:val="0"/>
          <w:lang w:eastAsia="es-CO"/>
          <w14:ligatures w14:val="none"/>
        </w:rPr>
        <w:t xml:space="preserve">. Santiago de Chile: CEPAL. </w:t>
      </w:r>
    </w:p>
    <w:p w14:paraId="065F7D08" w14:textId="77777777" w:rsidR="008B58E4" w:rsidRPr="006674D0" w:rsidRDefault="008B58E4" w:rsidP="006674D0">
      <w:pPr>
        <w:numPr>
          <w:ilvl w:val="0"/>
          <w:numId w:val="4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Comisión Económica para América Latina y el Caribe. (2024). </w:t>
      </w:r>
      <w:r w:rsidRPr="006674D0">
        <w:rPr>
          <w:rFonts w:eastAsia="Times New Roman" w:cs="Times New Roman"/>
          <w:i/>
          <w:iCs/>
          <w:kern w:val="0"/>
          <w:lang w:eastAsia="es-CO"/>
          <w14:ligatures w14:val="none"/>
        </w:rPr>
        <w:t>Agenda Digital para América Latina y el Caribe (eLAC2026)</w:t>
      </w:r>
      <w:r w:rsidRPr="006674D0">
        <w:rPr>
          <w:rFonts w:eastAsia="Times New Roman" w:cs="Times New Roman"/>
          <w:kern w:val="0"/>
          <w:lang w:eastAsia="es-CO"/>
          <w14:ligatures w14:val="none"/>
        </w:rPr>
        <w:t xml:space="preserve">. Santiago de Chile: CEPAL. </w:t>
      </w:r>
    </w:p>
    <w:p w14:paraId="184C44BF" w14:textId="77777777" w:rsidR="008B58E4" w:rsidRPr="006674D0" w:rsidRDefault="008B58E4" w:rsidP="006674D0">
      <w:pPr>
        <w:numPr>
          <w:ilvl w:val="0"/>
          <w:numId w:val="4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Comisión Económica para América Latina y el Caribe. (2025). </w:t>
      </w:r>
      <w:r w:rsidRPr="006674D0">
        <w:rPr>
          <w:rFonts w:eastAsia="Times New Roman" w:cs="Times New Roman"/>
          <w:i/>
          <w:iCs/>
          <w:kern w:val="0"/>
          <w:lang w:eastAsia="es-CO"/>
          <w14:ligatures w14:val="none"/>
        </w:rPr>
        <w:t>La trampa de baja capacidad para crecer y transformar</w:t>
      </w:r>
      <w:r w:rsidRPr="006674D0">
        <w:rPr>
          <w:rFonts w:eastAsia="Times New Roman" w:cs="Times New Roman"/>
          <w:kern w:val="0"/>
          <w:lang w:eastAsia="es-CO"/>
          <w14:ligatures w14:val="none"/>
        </w:rPr>
        <w:t xml:space="preserve">. Santiago de Chile: CEPAL. </w:t>
      </w:r>
    </w:p>
    <w:p w14:paraId="40F61DA2" w14:textId="77777777" w:rsidR="008B58E4" w:rsidRPr="006674D0" w:rsidRDefault="008B58E4" w:rsidP="006674D0">
      <w:pPr>
        <w:numPr>
          <w:ilvl w:val="0"/>
          <w:numId w:val="4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Organización de las Naciones Unidas. (2015). </w:t>
      </w:r>
      <w:r w:rsidRPr="006674D0">
        <w:rPr>
          <w:rFonts w:eastAsia="Times New Roman" w:cs="Times New Roman"/>
          <w:i/>
          <w:iCs/>
          <w:kern w:val="0"/>
          <w:lang w:eastAsia="es-CO"/>
          <w14:ligatures w14:val="none"/>
        </w:rPr>
        <w:t>Transformar nuestro mundo: la Agenda 2030 para el Desarrollo Sostenible</w:t>
      </w:r>
      <w:r w:rsidRPr="006674D0">
        <w:rPr>
          <w:rFonts w:eastAsia="Times New Roman" w:cs="Times New Roman"/>
          <w:kern w:val="0"/>
          <w:lang w:eastAsia="es-CO"/>
          <w14:ligatures w14:val="none"/>
        </w:rPr>
        <w:t xml:space="preserve">. Nueva York: Naciones Unidas. </w:t>
      </w:r>
    </w:p>
    <w:p w14:paraId="3CDB9AAB" w14:textId="77777777" w:rsidR="008B58E4" w:rsidRPr="006674D0" w:rsidRDefault="008B58E4" w:rsidP="006674D0">
      <w:pPr>
        <w:numPr>
          <w:ilvl w:val="0"/>
          <w:numId w:val="4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UNESCO. (2021). </w:t>
      </w:r>
      <w:proofErr w:type="spellStart"/>
      <w:r w:rsidRPr="006674D0">
        <w:rPr>
          <w:rFonts w:eastAsia="Times New Roman" w:cs="Times New Roman"/>
          <w:i/>
          <w:iCs/>
          <w:kern w:val="0"/>
          <w:lang w:eastAsia="es-CO"/>
          <w14:ligatures w14:val="none"/>
        </w:rPr>
        <w:t>Reimaginar</w:t>
      </w:r>
      <w:proofErr w:type="spellEnd"/>
      <w:r w:rsidRPr="006674D0">
        <w:rPr>
          <w:rFonts w:eastAsia="Times New Roman" w:cs="Times New Roman"/>
          <w:i/>
          <w:iCs/>
          <w:kern w:val="0"/>
          <w:lang w:eastAsia="es-CO"/>
          <w14:ligatures w14:val="none"/>
        </w:rPr>
        <w:t xml:space="preserve"> juntos nuestros futuros: un nuevo contrato social para la educación</w:t>
      </w:r>
      <w:r w:rsidRPr="006674D0">
        <w:rPr>
          <w:rFonts w:eastAsia="Times New Roman" w:cs="Times New Roman"/>
          <w:kern w:val="0"/>
          <w:lang w:eastAsia="es-CO"/>
          <w14:ligatures w14:val="none"/>
        </w:rPr>
        <w:t xml:space="preserve">. París: UNESCO. </w:t>
      </w:r>
    </w:p>
    <w:p w14:paraId="4FC966F0" w14:textId="77777777" w:rsidR="008B58E4" w:rsidRPr="006674D0" w:rsidRDefault="008B58E4" w:rsidP="006674D0">
      <w:pPr>
        <w:numPr>
          <w:ilvl w:val="0"/>
          <w:numId w:val="4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UNESCO. (2023). </w:t>
      </w:r>
      <w:r w:rsidRPr="006674D0">
        <w:rPr>
          <w:rFonts w:eastAsia="Times New Roman" w:cs="Times New Roman"/>
          <w:i/>
          <w:iCs/>
          <w:kern w:val="0"/>
          <w:lang w:eastAsia="es-CO"/>
          <w14:ligatures w14:val="none"/>
        </w:rPr>
        <w:t xml:space="preserve">Global </w:t>
      </w:r>
      <w:proofErr w:type="spellStart"/>
      <w:r w:rsidRPr="006674D0">
        <w:rPr>
          <w:rFonts w:eastAsia="Times New Roman" w:cs="Times New Roman"/>
          <w:i/>
          <w:iCs/>
          <w:kern w:val="0"/>
          <w:lang w:eastAsia="es-CO"/>
          <w14:ligatures w14:val="none"/>
        </w:rPr>
        <w:t>Education</w:t>
      </w:r>
      <w:proofErr w:type="spellEnd"/>
      <w:r w:rsidRPr="006674D0">
        <w:rPr>
          <w:rFonts w:eastAsia="Times New Roman" w:cs="Times New Roman"/>
          <w:i/>
          <w:iCs/>
          <w:kern w:val="0"/>
          <w:lang w:eastAsia="es-CO"/>
          <w14:ligatures w14:val="none"/>
        </w:rPr>
        <w:t xml:space="preserve"> </w:t>
      </w:r>
      <w:proofErr w:type="spellStart"/>
      <w:r w:rsidRPr="006674D0">
        <w:rPr>
          <w:rFonts w:eastAsia="Times New Roman" w:cs="Times New Roman"/>
          <w:i/>
          <w:iCs/>
          <w:kern w:val="0"/>
          <w:lang w:eastAsia="es-CO"/>
          <w14:ligatures w14:val="none"/>
        </w:rPr>
        <w:t>Monitoring</w:t>
      </w:r>
      <w:proofErr w:type="spellEnd"/>
      <w:r w:rsidRPr="006674D0">
        <w:rPr>
          <w:rFonts w:eastAsia="Times New Roman" w:cs="Times New Roman"/>
          <w:i/>
          <w:iCs/>
          <w:kern w:val="0"/>
          <w:lang w:eastAsia="es-CO"/>
          <w14:ligatures w14:val="none"/>
        </w:rPr>
        <w:t xml:space="preserve"> </w:t>
      </w:r>
      <w:proofErr w:type="spellStart"/>
      <w:r w:rsidRPr="006674D0">
        <w:rPr>
          <w:rFonts w:eastAsia="Times New Roman" w:cs="Times New Roman"/>
          <w:i/>
          <w:iCs/>
          <w:kern w:val="0"/>
          <w:lang w:eastAsia="es-CO"/>
          <w14:ligatures w14:val="none"/>
        </w:rPr>
        <w:t>Report</w:t>
      </w:r>
      <w:proofErr w:type="spellEnd"/>
      <w:r w:rsidRPr="006674D0">
        <w:rPr>
          <w:rFonts w:eastAsia="Times New Roman" w:cs="Times New Roman"/>
          <w:i/>
          <w:iCs/>
          <w:kern w:val="0"/>
          <w:lang w:eastAsia="es-CO"/>
          <w14:ligatures w14:val="none"/>
        </w:rPr>
        <w:t xml:space="preserve"> 2023</w:t>
      </w:r>
      <w:r w:rsidRPr="006674D0">
        <w:rPr>
          <w:rFonts w:eastAsia="Times New Roman" w:cs="Times New Roman"/>
          <w:kern w:val="0"/>
          <w:lang w:eastAsia="es-CO"/>
          <w14:ligatures w14:val="none"/>
        </w:rPr>
        <w:t xml:space="preserve">. París: UNESCO. </w:t>
      </w:r>
    </w:p>
    <w:p w14:paraId="7C7EF6B3" w14:textId="77777777" w:rsidR="008B58E4" w:rsidRPr="006674D0" w:rsidRDefault="008B58E4" w:rsidP="006674D0">
      <w:pPr>
        <w:numPr>
          <w:ilvl w:val="0"/>
          <w:numId w:val="40"/>
        </w:numPr>
        <w:spacing w:before="100" w:beforeAutospacing="1" w:after="100" w:afterAutospacing="1" w:line="240" w:lineRule="auto"/>
        <w:jc w:val="both"/>
        <w:rPr>
          <w:rFonts w:eastAsia="Times New Roman" w:cs="Times New Roman"/>
          <w:kern w:val="0"/>
          <w:lang w:eastAsia="es-CO"/>
          <w14:ligatures w14:val="none"/>
        </w:rPr>
      </w:pPr>
      <w:r w:rsidRPr="006674D0">
        <w:rPr>
          <w:rFonts w:eastAsia="Times New Roman" w:cs="Times New Roman"/>
          <w:kern w:val="0"/>
          <w:lang w:eastAsia="es-CO"/>
          <w14:ligatures w14:val="none"/>
        </w:rPr>
        <w:t xml:space="preserve">Organización para la Cooperación y el Desarrollo Económicos (OCDE). (2023). </w:t>
      </w:r>
      <w:r w:rsidRPr="006674D0">
        <w:rPr>
          <w:rFonts w:eastAsia="Times New Roman" w:cs="Times New Roman"/>
          <w:i/>
          <w:iCs/>
          <w:kern w:val="0"/>
          <w:lang w:eastAsia="es-CO"/>
          <w14:ligatures w14:val="none"/>
        </w:rPr>
        <w:t xml:space="preserve">OECD </w:t>
      </w:r>
      <w:proofErr w:type="spellStart"/>
      <w:r w:rsidRPr="006674D0">
        <w:rPr>
          <w:rFonts w:eastAsia="Times New Roman" w:cs="Times New Roman"/>
          <w:i/>
          <w:iCs/>
          <w:kern w:val="0"/>
          <w:lang w:eastAsia="es-CO"/>
          <w14:ligatures w14:val="none"/>
        </w:rPr>
        <w:t>Science</w:t>
      </w:r>
      <w:proofErr w:type="spellEnd"/>
      <w:r w:rsidRPr="006674D0">
        <w:rPr>
          <w:rFonts w:eastAsia="Times New Roman" w:cs="Times New Roman"/>
          <w:i/>
          <w:iCs/>
          <w:kern w:val="0"/>
          <w:lang w:eastAsia="es-CO"/>
          <w14:ligatures w14:val="none"/>
        </w:rPr>
        <w:t xml:space="preserve">, </w:t>
      </w:r>
      <w:proofErr w:type="spellStart"/>
      <w:r w:rsidRPr="006674D0">
        <w:rPr>
          <w:rFonts w:eastAsia="Times New Roman" w:cs="Times New Roman"/>
          <w:i/>
          <w:iCs/>
          <w:kern w:val="0"/>
          <w:lang w:eastAsia="es-CO"/>
          <w14:ligatures w14:val="none"/>
        </w:rPr>
        <w:t>Technology</w:t>
      </w:r>
      <w:proofErr w:type="spellEnd"/>
      <w:r w:rsidRPr="006674D0">
        <w:rPr>
          <w:rFonts w:eastAsia="Times New Roman" w:cs="Times New Roman"/>
          <w:i/>
          <w:iCs/>
          <w:kern w:val="0"/>
          <w:lang w:eastAsia="es-CO"/>
          <w14:ligatures w14:val="none"/>
        </w:rPr>
        <w:t xml:space="preserve"> and </w:t>
      </w:r>
      <w:proofErr w:type="spellStart"/>
      <w:r w:rsidRPr="006674D0">
        <w:rPr>
          <w:rFonts w:eastAsia="Times New Roman" w:cs="Times New Roman"/>
          <w:i/>
          <w:iCs/>
          <w:kern w:val="0"/>
          <w:lang w:eastAsia="es-CO"/>
          <w14:ligatures w14:val="none"/>
        </w:rPr>
        <w:t>Innovation</w:t>
      </w:r>
      <w:proofErr w:type="spellEnd"/>
      <w:r w:rsidRPr="006674D0">
        <w:rPr>
          <w:rFonts w:eastAsia="Times New Roman" w:cs="Times New Roman"/>
          <w:i/>
          <w:iCs/>
          <w:kern w:val="0"/>
          <w:lang w:eastAsia="es-CO"/>
          <w14:ligatures w14:val="none"/>
        </w:rPr>
        <w:t xml:space="preserve"> Outlook 2023</w:t>
      </w:r>
      <w:r w:rsidRPr="006674D0">
        <w:rPr>
          <w:rFonts w:eastAsia="Times New Roman" w:cs="Times New Roman"/>
          <w:kern w:val="0"/>
          <w:lang w:eastAsia="es-CO"/>
          <w14:ligatures w14:val="none"/>
        </w:rPr>
        <w:t xml:space="preserve">. París: OECD. </w:t>
      </w:r>
    </w:p>
    <w:p w14:paraId="241D7480" w14:textId="77777777" w:rsidR="002776BD" w:rsidRPr="006674D0" w:rsidRDefault="002776BD" w:rsidP="006674D0">
      <w:pPr>
        <w:jc w:val="both"/>
        <w:rPr>
          <w:lang w:val="es-MX"/>
        </w:rPr>
      </w:pPr>
    </w:p>
    <w:sectPr w:rsidR="002776BD" w:rsidRPr="006674D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75A04"/>
    <w:multiLevelType w:val="multilevel"/>
    <w:tmpl w:val="1F206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655AE"/>
    <w:multiLevelType w:val="multilevel"/>
    <w:tmpl w:val="82765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94B1F"/>
    <w:multiLevelType w:val="multilevel"/>
    <w:tmpl w:val="4D8A0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45076"/>
    <w:multiLevelType w:val="multilevel"/>
    <w:tmpl w:val="E432E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3E0DD8"/>
    <w:multiLevelType w:val="multilevel"/>
    <w:tmpl w:val="6DD05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A52508"/>
    <w:multiLevelType w:val="multilevel"/>
    <w:tmpl w:val="CE4A6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976EA8"/>
    <w:multiLevelType w:val="multilevel"/>
    <w:tmpl w:val="C3FC4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C67AFF"/>
    <w:multiLevelType w:val="multilevel"/>
    <w:tmpl w:val="C6CAD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C11258"/>
    <w:multiLevelType w:val="multilevel"/>
    <w:tmpl w:val="F24C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D32162"/>
    <w:multiLevelType w:val="multilevel"/>
    <w:tmpl w:val="A3766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FF5A0F"/>
    <w:multiLevelType w:val="multilevel"/>
    <w:tmpl w:val="690C4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42392F"/>
    <w:multiLevelType w:val="multilevel"/>
    <w:tmpl w:val="FA368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BE462C"/>
    <w:multiLevelType w:val="multilevel"/>
    <w:tmpl w:val="6DA2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921A1F"/>
    <w:multiLevelType w:val="multilevel"/>
    <w:tmpl w:val="95BA8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5F4A45"/>
    <w:multiLevelType w:val="multilevel"/>
    <w:tmpl w:val="DFAC8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A3ECE"/>
    <w:multiLevelType w:val="multilevel"/>
    <w:tmpl w:val="2E1C3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D4251A"/>
    <w:multiLevelType w:val="multilevel"/>
    <w:tmpl w:val="0FDA6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7B790F"/>
    <w:multiLevelType w:val="multilevel"/>
    <w:tmpl w:val="0F14F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D01F5B"/>
    <w:multiLevelType w:val="multilevel"/>
    <w:tmpl w:val="4B543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221CD4"/>
    <w:multiLevelType w:val="multilevel"/>
    <w:tmpl w:val="57DE7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D6685F"/>
    <w:multiLevelType w:val="multilevel"/>
    <w:tmpl w:val="AAB8F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545E91"/>
    <w:multiLevelType w:val="multilevel"/>
    <w:tmpl w:val="52F4D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83532E"/>
    <w:multiLevelType w:val="multilevel"/>
    <w:tmpl w:val="935A5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465EBA"/>
    <w:multiLevelType w:val="multilevel"/>
    <w:tmpl w:val="A2BC8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3F71E8"/>
    <w:multiLevelType w:val="multilevel"/>
    <w:tmpl w:val="35EC1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2F2BFD"/>
    <w:multiLevelType w:val="multilevel"/>
    <w:tmpl w:val="9DDA4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D1407B"/>
    <w:multiLevelType w:val="multilevel"/>
    <w:tmpl w:val="F35A7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4221C5"/>
    <w:multiLevelType w:val="multilevel"/>
    <w:tmpl w:val="97368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6317C6"/>
    <w:multiLevelType w:val="multilevel"/>
    <w:tmpl w:val="5A88A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962503"/>
    <w:multiLevelType w:val="multilevel"/>
    <w:tmpl w:val="523C3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F538C9"/>
    <w:multiLevelType w:val="multilevel"/>
    <w:tmpl w:val="92BA5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522BBC"/>
    <w:multiLevelType w:val="multilevel"/>
    <w:tmpl w:val="2772A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D6523A"/>
    <w:multiLevelType w:val="multilevel"/>
    <w:tmpl w:val="7EDEA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5728D7"/>
    <w:multiLevelType w:val="multilevel"/>
    <w:tmpl w:val="F572C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A64BC8"/>
    <w:multiLevelType w:val="multilevel"/>
    <w:tmpl w:val="F8687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CF6F43"/>
    <w:multiLevelType w:val="multilevel"/>
    <w:tmpl w:val="421EE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56185E"/>
    <w:multiLevelType w:val="multilevel"/>
    <w:tmpl w:val="1E863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C05575"/>
    <w:multiLevelType w:val="multilevel"/>
    <w:tmpl w:val="51DA9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114326"/>
    <w:multiLevelType w:val="multilevel"/>
    <w:tmpl w:val="B434D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2D564E"/>
    <w:multiLevelType w:val="multilevel"/>
    <w:tmpl w:val="48F66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A12AD9"/>
    <w:multiLevelType w:val="multilevel"/>
    <w:tmpl w:val="1B8AF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D61925"/>
    <w:multiLevelType w:val="multilevel"/>
    <w:tmpl w:val="D1623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BD798D"/>
    <w:multiLevelType w:val="multilevel"/>
    <w:tmpl w:val="D4CE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8319102">
    <w:abstractNumId w:val="7"/>
  </w:num>
  <w:num w:numId="2" w16cid:durableId="1315379950">
    <w:abstractNumId w:val="4"/>
  </w:num>
  <w:num w:numId="3" w16cid:durableId="380636676">
    <w:abstractNumId w:val="34"/>
  </w:num>
  <w:num w:numId="4" w16cid:durableId="296762049">
    <w:abstractNumId w:val="27"/>
  </w:num>
  <w:num w:numId="5" w16cid:durableId="660238727">
    <w:abstractNumId w:val="26"/>
  </w:num>
  <w:num w:numId="6" w16cid:durableId="2115904882">
    <w:abstractNumId w:val="2"/>
  </w:num>
  <w:num w:numId="7" w16cid:durableId="608128951">
    <w:abstractNumId w:val="20"/>
  </w:num>
  <w:num w:numId="8" w16cid:durableId="2005426713">
    <w:abstractNumId w:val="36"/>
  </w:num>
  <w:num w:numId="9" w16cid:durableId="696740964">
    <w:abstractNumId w:val="13"/>
  </w:num>
  <w:num w:numId="10" w16cid:durableId="1381324054">
    <w:abstractNumId w:val="41"/>
  </w:num>
  <w:num w:numId="11" w16cid:durableId="8676142">
    <w:abstractNumId w:val="39"/>
  </w:num>
  <w:num w:numId="12" w16cid:durableId="1478455289">
    <w:abstractNumId w:val="9"/>
  </w:num>
  <w:num w:numId="13" w16cid:durableId="1797259346">
    <w:abstractNumId w:val="40"/>
  </w:num>
  <w:num w:numId="14" w16cid:durableId="685206686">
    <w:abstractNumId w:val="1"/>
  </w:num>
  <w:num w:numId="15" w16cid:durableId="286593322">
    <w:abstractNumId w:val="17"/>
  </w:num>
  <w:num w:numId="16" w16cid:durableId="1736585351">
    <w:abstractNumId w:val="18"/>
  </w:num>
  <w:num w:numId="17" w16cid:durableId="2019382127">
    <w:abstractNumId w:val="37"/>
  </w:num>
  <w:num w:numId="18" w16cid:durableId="610287463">
    <w:abstractNumId w:val="10"/>
  </w:num>
  <w:num w:numId="19" w16cid:durableId="1295673898">
    <w:abstractNumId w:val="24"/>
  </w:num>
  <w:num w:numId="20" w16cid:durableId="1118834278">
    <w:abstractNumId w:val="14"/>
  </w:num>
  <w:num w:numId="21" w16cid:durableId="439498063">
    <w:abstractNumId w:val="0"/>
  </w:num>
  <w:num w:numId="22" w16cid:durableId="1797289015">
    <w:abstractNumId w:val="28"/>
  </w:num>
  <w:num w:numId="23" w16cid:durableId="125855405">
    <w:abstractNumId w:val="15"/>
  </w:num>
  <w:num w:numId="24" w16cid:durableId="1488396058">
    <w:abstractNumId w:val="19"/>
  </w:num>
  <w:num w:numId="25" w16cid:durableId="430399311">
    <w:abstractNumId w:val="38"/>
  </w:num>
  <w:num w:numId="26" w16cid:durableId="297033958">
    <w:abstractNumId w:val="11"/>
  </w:num>
  <w:num w:numId="27" w16cid:durableId="1386295524">
    <w:abstractNumId w:val="12"/>
  </w:num>
  <w:num w:numId="28" w16cid:durableId="1029262194">
    <w:abstractNumId w:val="31"/>
  </w:num>
  <w:num w:numId="29" w16cid:durableId="175467060">
    <w:abstractNumId w:val="5"/>
  </w:num>
  <w:num w:numId="30" w16cid:durableId="1125345088">
    <w:abstractNumId w:val="8"/>
  </w:num>
  <w:num w:numId="31" w16cid:durableId="1739932925">
    <w:abstractNumId w:val="21"/>
  </w:num>
  <w:num w:numId="32" w16cid:durableId="1357386675">
    <w:abstractNumId w:val="29"/>
  </w:num>
  <w:num w:numId="33" w16cid:durableId="104346398">
    <w:abstractNumId w:val="32"/>
  </w:num>
  <w:num w:numId="34" w16cid:durableId="1029644142">
    <w:abstractNumId w:val="23"/>
  </w:num>
  <w:num w:numId="35" w16cid:durableId="355008683">
    <w:abstractNumId w:val="35"/>
  </w:num>
  <w:num w:numId="36" w16cid:durableId="1080524392">
    <w:abstractNumId w:val="30"/>
  </w:num>
  <w:num w:numId="37" w16cid:durableId="2065828145">
    <w:abstractNumId w:val="16"/>
  </w:num>
  <w:num w:numId="38" w16cid:durableId="668289388">
    <w:abstractNumId w:val="33"/>
  </w:num>
  <w:num w:numId="39" w16cid:durableId="418913922">
    <w:abstractNumId w:val="3"/>
  </w:num>
  <w:num w:numId="40" w16cid:durableId="547649675">
    <w:abstractNumId w:val="42"/>
  </w:num>
  <w:num w:numId="41" w16cid:durableId="261382320">
    <w:abstractNumId w:val="25"/>
  </w:num>
  <w:num w:numId="42" w16cid:durableId="1070928721">
    <w:abstractNumId w:val="6"/>
  </w:num>
  <w:num w:numId="43" w16cid:durableId="36032180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665"/>
    <w:rsid w:val="00000665"/>
    <w:rsid w:val="00033244"/>
    <w:rsid w:val="0008296D"/>
    <w:rsid w:val="00174BC0"/>
    <w:rsid w:val="001E2D43"/>
    <w:rsid w:val="001E446F"/>
    <w:rsid w:val="0022246A"/>
    <w:rsid w:val="002310CC"/>
    <w:rsid w:val="002776BD"/>
    <w:rsid w:val="002B02CF"/>
    <w:rsid w:val="002C5274"/>
    <w:rsid w:val="0040295E"/>
    <w:rsid w:val="00444041"/>
    <w:rsid w:val="004D38C2"/>
    <w:rsid w:val="005534DD"/>
    <w:rsid w:val="00564AE2"/>
    <w:rsid w:val="00606ECF"/>
    <w:rsid w:val="00653C67"/>
    <w:rsid w:val="006674C0"/>
    <w:rsid w:val="006674D0"/>
    <w:rsid w:val="007C7B73"/>
    <w:rsid w:val="0086186A"/>
    <w:rsid w:val="008B58E4"/>
    <w:rsid w:val="008D4CDD"/>
    <w:rsid w:val="009F4990"/>
    <w:rsid w:val="00A80BA4"/>
    <w:rsid w:val="00AB10D7"/>
    <w:rsid w:val="00AE2215"/>
    <w:rsid w:val="00BA492B"/>
    <w:rsid w:val="00C9606C"/>
    <w:rsid w:val="00D03335"/>
    <w:rsid w:val="00D32C1A"/>
    <w:rsid w:val="00DB4CBF"/>
    <w:rsid w:val="00DC63F3"/>
    <w:rsid w:val="00EA6E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5AB21"/>
  <w15:chartTrackingRefBased/>
  <w15:docId w15:val="{9896094E-2E20-4079-AF76-CCC24D2B7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006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006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0066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0066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0066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0066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0066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0066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0066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0066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0066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0066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0066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0066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0066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0066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0066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00665"/>
    <w:rPr>
      <w:rFonts w:eastAsiaTheme="majorEastAsia" w:cstheme="majorBidi"/>
      <w:color w:val="272727" w:themeColor="text1" w:themeTint="D8"/>
    </w:rPr>
  </w:style>
  <w:style w:type="paragraph" w:styleId="Ttulo">
    <w:name w:val="Title"/>
    <w:basedOn w:val="Normal"/>
    <w:next w:val="Normal"/>
    <w:link w:val="TtuloCar"/>
    <w:uiPriority w:val="10"/>
    <w:qFormat/>
    <w:rsid w:val="000006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0066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0066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0066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00665"/>
    <w:pPr>
      <w:spacing w:before="160"/>
      <w:jc w:val="center"/>
    </w:pPr>
    <w:rPr>
      <w:i/>
      <w:iCs/>
      <w:color w:val="404040" w:themeColor="text1" w:themeTint="BF"/>
    </w:rPr>
  </w:style>
  <w:style w:type="character" w:customStyle="1" w:styleId="CitaCar">
    <w:name w:val="Cita Car"/>
    <w:basedOn w:val="Fuentedeprrafopredeter"/>
    <w:link w:val="Cita"/>
    <w:uiPriority w:val="29"/>
    <w:rsid w:val="00000665"/>
    <w:rPr>
      <w:i/>
      <w:iCs/>
      <w:color w:val="404040" w:themeColor="text1" w:themeTint="BF"/>
    </w:rPr>
  </w:style>
  <w:style w:type="paragraph" w:styleId="Prrafodelista">
    <w:name w:val="List Paragraph"/>
    <w:basedOn w:val="Normal"/>
    <w:uiPriority w:val="34"/>
    <w:qFormat/>
    <w:rsid w:val="00000665"/>
    <w:pPr>
      <w:ind w:left="720"/>
      <w:contextualSpacing/>
    </w:pPr>
  </w:style>
  <w:style w:type="character" w:styleId="nfasisintenso">
    <w:name w:val="Intense Emphasis"/>
    <w:basedOn w:val="Fuentedeprrafopredeter"/>
    <w:uiPriority w:val="21"/>
    <w:qFormat/>
    <w:rsid w:val="00000665"/>
    <w:rPr>
      <w:i/>
      <w:iCs/>
      <w:color w:val="0F4761" w:themeColor="accent1" w:themeShade="BF"/>
    </w:rPr>
  </w:style>
  <w:style w:type="paragraph" w:styleId="Citadestacada">
    <w:name w:val="Intense Quote"/>
    <w:basedOn w:val="Normal"/>
    <w:next w:val="Normal"/>
    <w:link w:val="CitadestacadaCar"/>
    <w:uiPriority w:val="30"/>
    <w:qFormat/>
    <w:rsid w:val="000006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00665"/>
    <w:rPr>
      <w:i/>
      <w:iCs/>
      <w:color w:val="0F4761" w:themeColor="accent1" w:themeShade="BF"/>
    </w:rPr>
  </w:style>
  <w:style w:type="character" w:styleId="Referenciaintensa">
    <w:name w:val="Intense Reference"/>
    <w:basedOn w:val="Fuentedeprrafopredeter"/>
    <w:uiPriority w:val="32"/>
    <w:qFormat/>
    <w:rsid w:val="0000066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27</Pages>
  <Words>8068</Words>
  <Characters>44376</Characters>
  <Application>Microsoft Office Word</Application>
  <DocSecurity>0</DocSecurity>
  <Lines>369</Lines>
  <Paragraphs>104</Paragraphs>
  <ScaleCrop>false</ScaleCrop>
  <Company/>
  <LinksUpToDate>false</LinksUpToDate>
  <CharactersWithSpaces>52340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Forero</dc:creator>
  <cp:keywords/>
  <dc:description/>
  <cp:lastModifiedBy>Carlos Forero</cp:lastModifiedBy>
  <cp:revision>33</cp:revision>
  <dcterms:created xsi:type="dcterms:W3CDTF">2026-07-22T14:22:00Z</dcterms:created>
  <dcterms:modified xsi:type="dcterms:W3CDTF">2026-07-22T20:51:00Z</dcterms:modified>
</cp:coreProperties>
</file>