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232C3" w:rsidRPr="00BB4D83" w:rsidRDefault="00000000">
      <w:pPr>
        <w:pStyle w:val="Ttulo1"/>
        <w:keepLines w:val="0"/>
        <w:spacing w:before="360" w:after="80"/>
        <w:jc w:val="both"/>
        <w:rPr>
          <w:lang w:val="es-ES_tradnl"/>
        </w:rPr>
      </w:pPr>
      <w:r w:rsidRPr="00BB4D83">
        <w:rPr>
          <w:color w:val="auto"/>
          <w:sz w:val="24"/>
          <w:szCs w:val="24"/>
          <w:lang w:val="es-ES_tradnl"/>
        </w:rPr>
        <w:t>La función de la educación superior en la propuesta de la CEPAL para reorientar el desarrollo y reducir la desigualdad en América Latina y el Caribe</w:t>
      </w:r>
    </w:p>
    <w:p w:rsidR="000232C3" w:rsidRPr="00BB4D83" w:rsidRDefault="00000000">
      <w:pPr>
        <w:pStyle w:val="Ttulo2"/>
        <w:keepLines w:val="0"/>
        <w:spacing w:before="160" w:after="80"/>
        <w:jc w:val="both"/>
        <w:rPr>
          <w:lang w:val="es-ES_tradnl"/>
        </w:rPr>
      </w:pPr>
      <w:r w:rsidRPr="00BB4D83">
        <w:rPr>
          <w:color w:val="auto"/>
          <w:sz w:val="24"/>
          <w:szCs w:val="24"/>
          <w:lang w:val="es-ES_tradnl"/>
        </w:rPr>
        <w:t>Introducción</w:t>
      </w:r>
    </w:p>
    <w:p w:rsidR="000232C3" w:rsidRPr="00BB4D83" w:rsidRDefault="00000000">
      <w:pPr>
        <w:spacing w:before="180" w:after="180"/>
        <w:jc w:val="both"/>
        <w:rPr>
          <w:lang w:val="es-ES_tradnl"/>
        </w:rPr>
      </w:pPr>
      <w:r w:rsidRPr="00BB4D83">
        <w:rPr>
          <w:lang w:val="es-ES_tradnl"/>
        </w:rPr>
        <w:t>América Latina y el Caribe enfrenta una crisis de desarrollo caracterizada por bajo crecimiento económico, estancamiento de la productividad, persistencia de la desigualdad y capacidades estatales limitadas para promover transformaciones a largo plazo. Ante este contexto, la Comisión Económica para América Latina y el Caribe (CEPAL) propone avanzar hacia un modelo de desarrollo más productivo, inclusivo y sostenible. Para lograrlo, las políticas económicas, sociales, educativas, científicas y ambientales deben integrarse en una estrategia común de transformación estructural, en lugar de operar de forma independiente (CEPAL, 20). En este contexto, la educación superior adquiere un papel estratégico. Se concibe no solo como un medio para mejorar las oportunidades laborales, sino también como una institución fundamental para la generación de conocimiento, el impulso a la innovación, el fortalecimiento del Estado y la transformación de la estructura productiva. La transición hacia economías basadas en el conocimiento incrementa la relevancia de la educación superior, la investigación y la innovación. Asimismo, se espera que las universidades amplíen sus funciones tradicionales y contribuyan de manera directa al desarrollo territorial, a la innovación, al emprendimiento y a la formulación de políticas públicas (UDUALC &amp; Kairós, s. f.).</w:t>
      </w:r>
    </w:p>
    <w:p w:rsidR="000232C3" w:rsidRPr="00BB4D83" w:rsidRDefault="00000000">
      <w:pPr>
        <w:spacing w:before="180" w:after="180"/>
        <w:jc w:val="both"/>
        <w:rPr>
          <w:lang w:val="es-ES_tradnl"/>
        </w:rPr>
      </w:pPr>
      <w:r w:rsidRPr="00BB4D83">
        <w:rPr>
          <w:lang w:val="es-ES_tradnl"/>
        </w:rPr>
        <w:t>Para comprender el papel asignado por la CEPAL a la educación superior, es fundamental analizarla en el marco del diagnóstico de las denominadas trampas del desarrollo. En este análisis, la educación superior se presenta como un vínculo entre dos objetivos principales: recuperar la capacidad de crecimiento y transformar la estructura productiva regional, y reducir la desigualdad junto con el aumento de la movilidad social. Por lo tanto, la estrategia no se limita a ampliar la matrícula universitaria o incrementar el número de titulados, sino que exige la construcción de sistemas educativos, científicos y tecnológicos capaces de transformar la producción, la distribución y la utilización del conocimiento en las economías latinoamericanas.</w:t>
      </w:r>
    </w:p>
    <w:p w:rsidR="000232C3" w:rsidRPr="00BB4D83" w:rsidRDefault="00000000">
      <w:pPr>
        <w:spacing w:before="180" w:after="180"/>
        <w:jc w:val="both"/>
        <w:rPr>
          <w:lang w:val="es-ES_tradnl"/>
        </w:rPr>
      </w:pPr>
      <w:r w:rsidRPr="00BB4D83">
        <w:rPr>
          <w:lang w:val="es-ES_tradnl"/>
        </w:rPr>
        <w:t>Desde esta perspectiva, la educación superior no solo debe formar individuos, sino también desarrollar capacidades colectivas. Esto implica realizar investigación, promover la innovación, fortalecer las instituciones públicas y contribuir a la solución de los principales desafíos económicos, sociales y ambientales de la región. La propuesta de la CEPAL plantea, en consecuencia, una articulación más estrecha entre la política educativa, la transformación productiva y la reducción de la desigualdad.</w:t>
      </w:r>
    </w:p>
    <w:p w:rsidR="000232C3" w:rsidRPr="00BB4D83" w:rsidRDefault="00000000">
      <w:pPr>
        <w:pStyle w:val="Ttulo2"/>
        <w:keepLines w:val="0"/>
        <w:spacing w:before="160" w:after="80"/>
        <w:jc w:val="both"/>
        <w:rPr>
          <w:lang w:val="es-ES_tradnl"/>
        </w:rPr>
      </w:pPr>
      <w:r w:rsidRPr="00BB4D83">
        <w:rPr>
          <w:color w:val="auto"/>
          <w:sz w:val="24"/>
          <w:szCs w:val="24"/>
          <w:lang w:val="es-ES_tradnl"/>
        </w:rPr>
        <w:t>1. La crisis del desarrollo y las trampas estructurales de la región</w:t>
      </w:r>
    </w:p>
    <w:p w:rsidR="000232C3" w:rsidRPr="00BB4D83" w:rsidRDefault="00000000">
      <w:pPr>
        <w:spacing w:before="180" w:after="180"/>
        <w:jc w:val="both"/>
        <w:rPr>
          <w:lang w:val="es-ES_tradnl"/>
        </w:rPr>
      </w:pPr>
      <w:r w:rsidRPr="00BB4D83">
        <w:rPr>
          <w:lang w:val="es-ES_tradnl"/>
        </w:rPr>
        <w:t xml:space="preserve">La CEPAL sostiene que América Latina y el Caribe enfrenta tres grandes trampas estrechamente relacionadas: una trampa de baja capacidad de crecimiento; una trampa de alta desigualdad, baja movilidad social y débil cohesión social; y una trampa de bajas capacidades institucionales y de gobernanza poco efectiva (CEPAL, 2024a). El bajo crecimiento limita la creación de empleos de calidad y reduce los recursos fiscales disponibles para financiar servicios públicos y políticas sociales. La desigualdad impide que una parte importante de la </w:t>
      </w:r>
      <w:r w:rsidRPr="00BB4D83">
        <w:rPr>
          <w:lang w:val="es-ES_tradnl"/>
        </w:rPr>
        <w:lastRenderedPageBreak/>
        <w:t>población acceda a oportunidades educativas, laborales y productivas. Al mismo tiempo, la debilidad institucional dificulta el diseño, la coordinación y la aplicación de políticas capaces de transformar estas condiciones.</w:t>
      </w:r>
    </w:p>
    <w:p w:rsidR="000232C3" w:rsidRPr="00BB4D83" w:rsidRDefault="00000000">
      <w:pPr>
        <w:spacing w:before="180" w:after="180"/>
        <w:jc w:val="both"/>
        <w:rPr>
          <w:lang w:val="es-ES_tradnl"/>
        </w:rPr>
      </w:pPr>
      <w:r w:rsidRPr="00BB4D83">
        <w:rPr>
          <w:lang w:val="es-ES_tradnl"/>
        </w:rPr>
        <w:t>La primera trampa se relaciona con la dificultad de las economías latinoamericanas para mantener tasas elevadas de crecimiento y de productividad. Una parte importante de la estructura productiva regional sigue dependiendo de actividades de bajo valor agregado, de exportaciones de recursos naturales con escaso procesamiento, de servicios informales y de sectores que incorporan poca tecnología y conocimiento. Esta estructura limita la creación de empleos bien remunerados y reduce la capacidad de los Estados para ampliar su recaudación y financiar políticas públicas. También mantiene una fuerte dependencia tecnológica, pues una parte importante de los bienes de capital, las patentes, las plataformas digitales y las tecnologías avanzadas utilizadas en la región se producen en otros países.</w:t>
      </w:r>
    </w:p>
    <w:p w:rsidR="000232C3" w:rsidRPr="00BB4D83" w:rsidRDefault="00000000">
      <w:pPr>
        <w:spacing w:before="180" w:after="180"/>
        <w:jc w:val="both"/>
        <w:rPr>
          <w:lang w:val="es-ES_tradnl"/>
        </w:rPr>
      </w:pPr>
      <w:r w:rsidRPr="00BB4D83">
        <w:rPr>
          <w:lang w:val="es-ES_tradnl"/>
        </w:rPr>
        <w:t xml:space="preserve">La CEPAL considera que esta situación no representa únicamente una desaceleración económica temporal, sino una verdadera crisis de desarrollo. La región tiene dificultades para transformar su estructura productiva, aumentar la productividad y distribuir equitativamente los beneficios del avance tecnológico (CEPAL, 2024a). </w:t>
      </w:r>
    </w:p>
    <w:p w:rsidR="000232C3" w:rsidRPr="00BB4D83" w:rsidRDefault="00000000">
      <w:pPr>
        <w:spacing w:before="180" w:after="180"/>
        <w:jc w:val="both"/>
        <w:rPr>
          <w:lang w:val="es-ES_tradnl"/>
        </w:rPr>
      </w:pPr>
      <w:r w:rsidRPr="00BB4D83">
        <w:rPr>
          <w:lang w:val="es-ES_tradnl"/>
        </w:rPr>
        <w:t>La segunda trampa se refiere a la persistencia de altos niveles de desigualdad, baja movilidad social y débil cohesión. Las desigualdades no se limitan al ingreso, sino que también se observan en el acceso a la educación, la salud, el empleo formal, la vivienda, la protección social y la conectividad. Además, tienen una dimensión territorial, de género, étnica, racial y generacional. La concentración de los recursos no es solo un problema ético o distributivo. También frena el crecimiento, porque impide aprovechar las capacidades de una parte importante de la población. Cuando las oportunidades educativas dependen del origen familiar, los países desaprovechan talentos que podrían contribuir a la innovación, la productividad y la solución de problemas públicos.</w:t>
      </w:r>
    </w:p>
    <w:p w:rsidR="000232C3" w:rsidRPr="00BB4D83" w:rsidRDefault="00000000">
      <w:pPr>
        <w:spacing w:before="180" w:after="180"/>
        <w:jc w:val="both"/>
        <w:rPr>
          <w:lang w:val="es-ES_tradnl"/>
        </w:rPr>
      </w:pPr>
      <w:r w:rsidRPr="00BB4D83">
        <w:rPr>
          <w:lang w:val="es-ES_tradnl"/>
        </w:rPr>
        <w:t>La tercera trampa se relaciona con la debilidad de las instituciones para conducir transformaciones complejas. Se ha señalado que los Estados necesitan capacidades técnicas, operativas, políticas y prospectivas, conocidas como capacidades TOPP, para planear, aplicar y evaluar las políticas de desarrollo (CEPAL, 2024a). Las capacidades técnicas incluyen la disponibilidad de personal capacitado, así como de información y de conocimientos especializados. Las capacidades operativas permiten convertir las decisiones en programas y acciones concretas. Las capacidades políticas ayudan a construir acuerdos y coordinar a diferentes actores. Por último, las capacidades prospectivas permiten anticipar cambios tecnológicos, económicos, sociales, demográficos y ambientales.</w:t>
      </w:r>
    </w:p>
    <w:p w:rsidR="000232C3" w:rsidRPr="00BB4D83" w:rsidRDefault="00000000">
      <w:pPr>
        <w:spacing w:before="180" w:after="180"/>
        <w:jc w:val="both"/>
        <w:rPr>
          <w:lang w:val="es-ES_tradnl"/>
        </w:rPr>
      </w:pPr>
      <w:r w:rsidRPr="00BB4D83">
        <w:rPr>
          <w:lang w:val="es-ES_tradnl"/>
        </w:rPr>
        <w:t>La educación superior se relaciona directamente con estas capacidades. Las universidades forman a una parte importante de los profesionales que trabajan en las instituciones públicas y producen estudios, datos y métodos que ayudan a diseñar y evaluar políticas públicas. Por ello, debilitar a las universidades públicas y a los sistemas científicos también reduce la capacidad del Estado para conducir el desarrollo. Los problemas educativos atraviesan, de esta manera, las tres trampas. Un sistema educativo desigual, con una calidad muy distinta entre instituciones y poco alineado con las necesidades sociales y productivas, limita tanto la productividad como la movilidad social.</w:t>
      </w:r>
    </w:p>
    <w:p w:rsidR="000232C3" w:rsidRPr="00BB4D83" w:rsidRDefault="00000000">
      <w:pPr>
        <w:spacing w:before="180" w:after="180"/>
        <w:jc w:val="both"/>
        <w:rPr>
          <w:lang w:val="es-ES_tradnl"/>
        </w:rPr>
      </w:pPr>
      <w:r w:rsidRPr="00BB4D83">
        <w:rPr>
          <w:lang w:val="es-ES_tradnl"/>
        </w:rPr>
        <w:lastRenderedPageBreak/>
        <w:t>Por esta razón, no se propone resolver primero el crecimiento económico y después la desigualdad. Ambos problemas deben atenderse simultáneamente. Esto requiere transformar las estructuras productivas, educativas, sociales e institucionales. La educación superior forma parte de esa transformación porque puede contribuir tanto a la creación de conocimiento y de nuevas actividades económicas como a la ampliación de las oportunidades sociales.</w:t>
      </w:r>
    </w:p>
    <w:p w:rsidR="000232C3" w:rsidRPr="00BB4D83" w:rsidRDefault="00000000">
      <w:pPr>
        <w:pStyle w:val="Ttulo2"/>
        <w:keepLines w:val="0"/>
        <w:spacing w:before="160" w:after="80"/>
        <w:jc w:val="both"/>
        <w:rPr>
          <w:lang w:val="es-ES_tradnl"/>
        </w:rPr>
      </w:pPr>
      <w:r w:rsidRPr="00BB4D83">
        <w:rPr>
          <w:color w:val="auto"/>
          <w:sz w:val="24"/>
          <w:szCs w:val="24"/>
          <w:lang w:val="es-ES_tradnl"/>
        </w:rPr>
        <w:t>2. La educación como vínculo entre crecimiento, igualdad y ciudadanía</w:t>
      </w:r>
    </w:p>
    <w:p w:rsidR="000232C3" w:rsidRPr="00BB4D83" w:rsidRDefault="00000000">
      <w:pPr>
        <w:spacing w:before="180" w:after="180"/>
        <w:jc w:val="both"/>
        <w:rPr>
          <w:lang w:val="es-ES_tradnl"/>
        </w:rPr>
      </w:pPr>
      <w:r w:rsidRPr="00BB4D83">
        <w:rPr>
          <w:lang w:val="es-ES_tradnl"/>
        </w:rPr>
        <w:t>La educación puede articular tres grandes objetivos: el crecimiento económico, la igualdad social y la participación ciudadana. En su propuesta actual, la educación se entiende como un derecho humano, pero también como una capacidad necesaria para aumentar la productividad, impulsar la innovación, fortalecer la democracia y avanzar hacia un desarrollo sostenible. Una sociedad con mayores capacidades educativas puede fortalecer la ciudadanía y la cohesión social. Sin embargo, ampliar la cobertura no basta. También se necesita mejorar la calidad y reducir las diferencias entre instituciones y grupos sociales (Bárcena &amp; Serra, 2011).</w:t>
      </w:r>
    </w:p>
    <w:p w:rsidR="000232C3" w:rsidRPr="00BB4D83" w:rsidRDefault="00000000">
      <w:pPr>
        <w:spacing w:before="180" w:after="180"/>
        <w:jc w:val="both"/>
        <w:rPr>
          <w:lang w:val="es-ES_tradnl"/>
        </w:rPr>
      </w:pPr>
      <w:r w:rsidRPr="00BB4D83">
        <w:rPr>
          <w:lang w:val="es-ES_tradnl"/>
        </w:rPr>
        <w:t>Esta doble función de la educación, tanto como derecho social como capacidad productiva, es fundamental para comprender la propuesta de esta organización. Una política educativa orientada únicamente a las necesidades inmediatas de las empresas puede limitar la función social de las universidades. La educación superior no debe reducirse a la preparación de trabajadores para los empleos que existen en un momento determinado. Sin embargo, tampoco es conveniente mantener una educación superior alejada de la realidad económica y social. Cuando las universidades no toman en cuenta los cambios en el trabajo, la tecnología y la producción, pueden formar profesionales que encuentren pocas oportunidades para aplicar sus conocimientos.</w:t>
      </w:r>
    </w:p>
    <w:p w:rsidR="000232C3" w:rsidRPr="00BB4D83" w:rsidRDefault="00000000">
      <w:pPr>
        <w:spacing w:before="180" w:after="180"/>
        <w:jc w:val="both"/>
        <w:rPr>
          <w:lang w:val="es-ES_tradnl"/>
        </w:rPr>
      </w:pPr>
      <w:r w:rsidRPr="00BB4D83">
        <w:rPr>
          <w:lang w:val="es-ES_tradnl"/>
        </w:rPr>
        <w:t>Se propone superar esta separación mediante una estrategia en la que la educación se relacione con las políticas económicas, laborales, científicas, tecnológicas, sociales y territoriales. Esto no significa convertir a las universidades en simples proveedoras de personal para las empresas. Significa integrarlas en la producción y la difusión del conocimiento, la innovación tecnológica, el fortalecimiento institucional y la solución de problemas públicos.</w:t>
      </w:r>
    </w:p>
    <w:p w:rsidR="000232C3" w:rsidRPr="00BB4D83" w:rsidRDefault="00000000">
      <w:pPr>
        <w:spacing w:before="180" w:after="180"/>
        <w:jc w:val="both"/>
        <w:rPr>
          <w:lang w:val="es-ES_tradnl"/>
        </w:rPr>
      </w:pPr>
      <w:r w:rsidRPr="00BB4D83">
        <w:rPr>
          <w:lang w:val="es-ES_tradnl"/>
        </w:rPr>
        <w:t>Desde esta perspectiva, la educación superior cumple al menos cuatro funciones. La primera es formar profesionales, técnicos, investigadores y servidores públicos con los conocimientos necesarios para responder a los retos económicos y sociales. La segunda consiste en realizar investigación científica y tecnológica. La tercera es contribuir a la innovación, la diversificación productiva y el desarrollo territorial. La cuarta es fortalecer el pensamiento crítico, la ciudadanía, la cohesión social y la participación democrática.</w:t>
      </w:r>
    </w:p>
    <w:p w:rsidR="000232C3" w:rsidRPr="00BB4D83" w:rsidRDefault="00000000">
      <w:pPr>
        <w:spacing w:before="180" w:after="180"/>
        <w:jc w:val="both"/>
        <w:rPr>
          <w:lang w:val="es-ES_tradnl"/>
        </w:rPr>
      </w:pPr>
      <w:r w:rsidRPr="00BB4D83">
        <w:rPr>
          <w:lang w:val="es-ES_tradnl"/>
        </w:rPr>
        <w:t>Esta visión supera la idea de que la educación solo aumenta la productividad y los ingresos de cada persona. La formación universitaria también genera beneficios para toda la sociedad. Genera conocimientos, instituciones, redes científicas, innovaciones y diagnósticos que pueden utilizarse para resolver problemas colectivos. Muchos de estos beneficios no se reflejan de manera directa en el salario de quienes estudian, pero sí mejoran la capacidad de una sociedad para enfrentar problemas complejos.</w:t>
      </w:r>
    </w:p>
    <w:p w:rsidR="000232C3" w:rsidRPr="00BB4D83" w:rsidRDefault="00000000">
      <w:pPr>
        <w:spacing w:before="180" w:after="180"/>
        <w:jc w:val="both"/>
        <w:rPr>
          <w:lang w:val="es-ES_tradnl"/>
        </w:rPr>
      </w:pPr>
      <w:r w:rsidRPr="00BB4D83">
        <w:rPr>
          <w:lang w:val="es-ES_tradnl"/>
        </w:rPr>
        <w:lastRenderedPageBreak/>
        <w:t>Por esta razón, invertir en educación es una decisión esencial para avanzar hacia un desarrollo social inclusivo. El conocimiento y las capacidades de las personas son entre los principales recursos de los países. En consecuencia, la educación debe ocupar un lugar central en las estrategias de desarrollo y no considerarse únicamente un gasto público (Huepe, 2024).</w:t>
      </w:r>
    </w:p>
    <w:p w:rsidR="000232C3" w:rsidRPr="00BB4D83" w:rsidRDefault="00000000">
      <w:pPr>
        <w:pStyle w:val="Ttulo2"/>
        <w:keepLines w:val="0"/>
        <w:spacing w:before="160" w:after="80"/>
        <w:jc w:val="both"/>
        <w:rPr>
          <w:lang w:val="es-ES_tradnl"/>
        </w:rPr>
      </w:pPr>
      <w:r w:rsidRPr="00BB4D83">
        <w:rPr>
          <w:color w:val="auto"/>
          <w:sz w:val="24"/>
          <w:szCs w:val="24"/>
          <w:lang w:val="es-ES_tradnl"/>
        </w:rPr>
        <w:t>3. La educación superior como mecanismo de movilidad social</w:t>
      </w:r>
    </w:p>
    <w:p w:rsidR="000232C3" w:rsidRPr="00BB4D83" w:rsidRDefault="00000000">
      <w:pPr>
        <w:spacing w:before="180" w:after="180"/>
        <w:jc w:val="both"/>
        <w:rPr>
          <w:lang w:val="es-ES_tradnl"/>
        </w:rPr>
      </w:pPr>
      <w:r w:rsidRPr="00BB4D83">
        <w:rPr>
          <w:lang w:val="es-ES_tradnl"/>
        </w:rPr>
        <w:t>Uno de los argumentos centrales de la CEPAL es que la educación puede favorecer la movilidad social. Sin embargo, esto solo ocurre cuando existen condiciones reales para ingresar, permanecer, aprender y concluir los estudios. También es necesario que las personas tituladas encuentren empleos dignos y acordes con su formación. En general, quienes cuentan con educación superior tienen mayores posibilidades de acceder a empleos formales, de recibir mejores salarios y de alcanzar una mayor estabilidad laboral. Aun así, la relación entre educación y movilidad social no es automática.</w:t>
      </w:r>
    </w:p>
    <w:p w:rsidR="000232C3" w:rsidRPr="00BB4D83" w:rsidRDefault="00000000">
      <w:pPr>
        <w:spacing w:before="180" w:after="180"/>
        <w:jc w:val="both"/>
        <w:rPr>
          <w:lang w:val="es-ES_tradnl"/>
        </w:rPr>
      </w:pPr>
      <w:r w:rsidRPr="00BB4D83">
        <w:rPr>
          <w:lang w:val="es-ES_tradnl"/>
        </w:rPr>
        <w:t>Los resultados laborales de la educación dependen de la estructura económica y del funcionamiento del mercado laboral. Sus beneficios pueden reducirse cuando hay desempleo, informalidad, precariedad laboral o baja demanda de trabajadores calificados. Por ello, elevar el nivel educativo de la población no basta si la economía no genera empleos adecuados para aplicar los conocimientos adquiridos (Carlson, 2002). Esta situación muestra que la política educativa debe ir acompañada de una política económica capaz de ampliar las oportunidades laborales.</w:t>
      </w:r>
    </w:p>
    <w:p w:rsidR="000232C3" w:rsidRPr="00BB4D83" w:rsidRDefault="00000000">
      <w:pPr>
        <w:spacing w:before="180" w:after="180"/>
        <w:jc w:val="both"/>
        <w:rPr>
          <w:lang w:val="es-ES_tradnl"/>
        </w:rPr>
      </w:pPr>
      <w:r w:rsidRPr="00BB4D83">
        <w:rPr>
          <w:lang w:val="es-ES_tradnl"/>
        </w:rPr>
        <w:t>La educación superior tampoco reduce por sí sola la desigualdad. En algunos casos, puede reproducirla, sobre todo cuando el acceso a las mejores instituciones, a las carreras con mayores ingresos o a las redes profesionales depende del origen socioeconómico. Las desigualdades educativas comienzan antes del ingreso a la universidad. Los jóvenes de hogares con mayores ingresos suelen tener más oportunidades de asistir a escuelas con recursos adecuados, concluir la educación media superior y prepararse para ingresar a la universidad. En cambio, quienes viven en condiciones de pobreza, en zonas rurales o en territorios con escasa infraestructura enfrentan mayores obstáculos. Estas dificultades afectan especialmente a los pueblos indígenas, a las poblaciones afrodescendientes y a las personas con discapacidad.</w:t>
      </w:r>
    </w:p>
    <w:p w:rsidR="000232C3" w:rsidRPr="00BB4D83" w:rsidRDefault="00000000">
      <w:pPr>
        <w:spacing w:before="180" w:after="180"/>
        <w:jc w:val="both"/>
        <w:rPr>
          <w:lang w:val="es-ES_tradnl"/>
        </w:rPr>
      </w:pPr>
      <w:r w:rsidRPr="00BB4D83">
        <w:rPr>
          <w:lang w:val="es-ES_tradnl"/>
        </w:rPr>
        <w:t>La pandemia de COVID-19 profundizó varias de estas desigualdades. Los largos cierres escolares afectaron los aprendizajes y aumentaron el riesgo de abandono escolar en América Latina y el Caribe (CEPAL, 2024b). Estas consecuencias también pueden llegar hasta la educación superior, ya que una menor conclusión de la enseñanza media reduce el número de jóvenes en condiciones de ingresar a las universidades. Por ello, la política de educación superior no puede estudiarse de manera aislada. Debe formar parte de una estrategia que abarque todo el sistema educativo, desde la primera infancia hasta el nivel universitario.</w:t>
      </w:r>
    </w:p>
    <w:p w:rsidR="000232C3" w:rsidRPr="00BB4D83" w:rsidRDefault="00000000">
      <w:pPr>
        <w:spacing w:before="180" w:after="180"/>
        <w:jc w:val="both"/>
        <w:rPr>
          <w:lang w:val="es-ES_tradnl"/>
        </w:rPr>
      </w:pPr>
      <w:r w:rsidRPr="00BB4D83">
        <w:rPr>
          <w:lang w:val="es-ES_tradnl"/>
        </w:rPr>
        <w:t>La educación superior también debe coordinarse con las políticas de salud, alimentación, vivienda, transporte, conectividad, cuidados y protección social. Las condiciones materiales influyen directamente en las trayectorias educativas. Abrir nuevos lugares en las universidades no es suficiente si los estudiantes deben trabajar muchas horas, desplazarse durante largos periodos o hacerse cargo del cuidado de otras personas. Tampoco existe una igualdad real cuando algunos estudiantes no tienen computadora, conexión a internet ni recursos para pagar alimentos, transporte y materiales.</w:t>
      </w:r>
    </w:p>
    <w:p w:rsidR="000232C3" w:rsidRPr="00BB4D83" w:rsidRDefault="00000000">
      <w:pPr>
        <w:spacing w:before="180" w:after="180"/>
        <w:jc w:val="both"/>
        <w:rPr>
          <w:lang w:val="es-ES_tradnl"/>
        </w:rPr>
      </w:pPr>
      <w:r w:rsidRPr="00BB4D83">
        <w:rPr>
          <w:lang w:val="es-ES_tradnl"/>
        </w:rPr>
        <w:lastRenderedPageBreak/>
        <w:t>Puede existir una igualdad formal para ingresar, pero fuertes desigualdades en las posibilidades de permanecer, aprender y concluir una carrera. Por ello, las políticas de inclusión deben considerar becas, apoyos económicos, tutorías, comedores, transporte, residencias, atención a la salud mental, conectividad y servicios de cuidado. También pueden ser necesarias medidas especiales para atender las desventajas relacionadas con el género, la discapacidad, el origen étnico, el territorio o la situación económica.</w:t>
      </w:r>
    </w:p>
    <w:p w:rsidR="000232C3" w:rsidRPr="00BB4D83" w:rsidRDefault="00000000">
      <w:pPr>
        <w:spacing w:before="180" w:after="180"/>
        <w:jc w:val="both"/>
        <w:rPr>
          <w:lang w:val="es-ES_tradnl"/>
        </w:rPr>
      </w:pPr>
      <w:r w:rsidRPr="00BB4D83">
        <w:rPr>
          <w:lang w:val="es-ES_tradnl"/>
        </w:rPr>
        <w:t>Otro problema es la desigualdad entre las propias instituciones de educación superior. La expansión de la matrícula puede dar lugar a un sistema dividido entre universidades con abundantes recursos y otras con grandes carencias. Los estudiantes con mayores ingresos suelen concentrarse en instituciones con mejores instalaciones, redes profesionales y vínculos con empresas. En cambio, los estudiantes de menores ingresos pueden acceder a programas con menos recursos y menor reconocimiento. Cuando esto ocurre, la expansión educativa no elimina la desigualdad, sino que la traslada al interior del sistema universitario.</w:t>
      </w:r>
    </w:p>
    <w:p w:rsidR="000232C3" w:rsidRPr="00BB4D83" w:rsidRDefault="00000000">
      <w:pPr>
        <w:spacing w:before="180" w:after="180"/>
        <w:jc w:val="both"/>
        <w:rPr>
          <w:lang w:val="es-ES_tradnl"/>
        </w:rPr>
      </w:pPr>
      <w:r w:rsidRPr="00BB4D83">
        <w:rPr>
          <w:lang w:val="es-ES_tradnl"/>
        </w:rPr>
        <w:t>Por esta razón, las reformas educativas deben mejorar simultáneamente la cobertura, la calidad, la inclusión y la equidad. Aumentar el número de estudiantes sin mejorar los aprendizajes ni las condiciones de estudio puede producir resultados limitados (</w:t>
      </w:r>
      <w:proofErr w:type="spellStart"/>
      <w:r w:rsidRPr="00BB4D83">
        <w:rPr>
          <w:lang w:val="es-ES_tradnl"/>
        </w:rPr>
        <w:t>Cetrángolo</w:t>
      </w:r>
      <w:proofErr w:type="spellEnd"/>
      <w:r w:rsidRPr="00BB4D83">
        <w:rPr>
          <w:lang w:val="es-ES_tradnl"/>
        </w:rPr>
        <w:t xml:space="preserve"> &amp; </w:t>
      </w:r>
      <w:proofErr w:type="spellStart"/>
      <w:r w:rsidRPr="00BB4D83">
        <w:rPr>
          <w:lang w:val="es-ES_tradnl"/>
        </w:rPr>
        <w:t>Curcio</w:t>
      </w:r>
      <w:proofErr w:type="spellEnd"/>
      <w:r w:rsidRPr="00BB4D83">
        <w:rPr>
          <w:lang w:val="es-ES_tradnl"/>
        </w:rPr>
        <w:t>, 2017). La movilidad social no termina cuando una persona obtiene un título. La educación debe traducirse en conocimientos reales, capacidades profesionales, participación social y oportunidades laborales. Esto exige combinar las políticas educativas con las económicas para generar empleos formales, productivos y bien remunerados.</w:t>
      </w:r>
    </w:p>
    <w:p w:rsidR="000232C3" w:rsidRPr="00BB4D83" w:rsidRDefault="00000000">
      <w:pPr>
        <w:pStyle w:val="Ttulo2"/>
        <w:keepLines w:val="0"/>
        <w:spacing w:before="160" w:after="80"/>
        <w:jc w:val="both"/>
        <w:rPr>
          <w:lang w:val="es-ES_tradnl"/>
        </w:rPr>
      </w:pPr>
      <w:r w:rsidRPr="00BB4D83">
        <w:rPr>
          <w:color w:val="auto"/>
          <w:sz w:val="24"/>
          <w:szCs w:val="24"/>
          <w:lang w:val="es-ES_tradnl"/>
        </w:rPr>
        <w:t>4. Educación superior y transformación productiva</w:t>
      </w:r>
    </w:p>
    <w:p w:rsidR="000232C3" w:rsidRPr="00BB4D83" w:rsidRDefault="00000000">
      <w:pPr>
        <w:spacing w:before="180" w:after="180"/>
        <w:jc w:val="both"/>
        <w:rPr>
          <w:lang w:val="es-ES_tradnl"/>
        </w:rPr>
      </w:pPr>
      <w:r w:rsidRPr="00BB4D83">
        <w:rPr>
          <w:lang w:val="es-ES_tradnl"/>
        </w:rPr>
        <w:t>Otro elemento central de la propuesta de la CEPAL es la transformación productiva. La región no podrá superar el bajo crecimiento únicamente mediante la estabilidad económica, la apertura comercial o los incentivos generales a la inversión. Se necesitan políticas que impulsen sectores estratégicos, aumenten la productividad y fortalezcan las capacidades tecnológicas.</w:t>
      </w:r>
    </w:p>
    <w:p w:rsidR="000232C3" w:rsidRPr="00BB4D83" w:rsidRDefault="00000000">
      <w:pPr>
        <w:spacing w:before="180" w:after="180"/>
        <w:jc w:val="both"/>
        <w:rPr>
          <w:lang w:val="es-ES_tradnl"/>
        </w:rPr>
      </w:pPr>
      <w:r w:rsidRPr="00BB4D83">
        <w:rPr>
          <w:lang w:val="es-ES_tradnl"/>
        </w:rPr>
        <w:t xml:space="preserve">La educación superior es fundamental para este proceso, ya que la transformación productiva requiere conocimiento, investigación, tecnología y personal especializado. Las universidades pueden ayudar a identificar sectores con potencial, a formar profesionales, a desarrollar tecnologías, a crear empresas de base científica y a evaluar políticas económicas. Las universidades públicas desempeñan un papel especialmente importante en los sistemas de innovación de América Latina. Su fortalecimiento y su relación con los sectores productivos pueden impulsar el desarrollo tecnológico local y reducir la dependencia de actividades de bajo valor agregado (Moreno </w:t>
      </w:r>
      <w:proofErr w:type="spellStart"/>
      <w:r w:rsidRPr="00BB4D83">
        <w:rPr>
          <w:lang w:val="es-ES_tradnl"/>
        </w:rPr>
        <w:t>Brid</w:t>
      </w:r>
      <w:proofErr w:type="spellEnd"/>
      <w:r w:rsidRPr="00BB4D83">
        <w:rPr>
          <w:lang w:val="es-ES_tradnl"/>
        </w:rPr>
        <w:t xml:space="preserve"> &amp; Ruiz Nápoles, 2009).</w:t>
      </w:r>
    </w:p>
    <w:p w:rsidR="000232C3" w:rsidRPr="00BB4D83" w:rsidRDefault="00000000">
      <w:pPr>
        <w:spacing w:before="180" w:after="180"/>
        <w:jc w:val="both"/>
        <w:rPr>
          <w:lang w:val="es-ES_tradnl"/>
        </w:rPr>
      </w:pPr>
      <w:r w:rsidRPr="00BB4D83">
        <w:rPr>
          <w:lang w:val="es-ES_tradnl"/>
        </w:rPr>
        <w:t>Entre los sectores con capacidad para impulsar el desarrollo se encuentran la industria farmacéutica, las ciencias de la vida, los dispositivos médicos y la fabricación avanzada. También destacan los servicios digitales, la transición energética, la movilidad eléctrica, la economía circular, la bioeconomía y el turismo sostenible. El desarrollo de estas actividades requiere capacidades científicas y técnicas que no pueden depender de manera permanente de tecnologías importadas. Deben construirse mediante universidades, centros de investigación y sistemas de formación técnica y profesional.</w:t>
      </w:r>
    </w:p>
    <w:p w:rsidR="000232C3" w:rsidRPr="00BB4D83" w:rsidRDefault="00000000">
      <w:pPr>
        <w:spacing w:before="180" w:after="180"/>
        <w:jc w:val="both"/>
        <w:rPr>
          <w:lang w:val="es-ES_tradnl"/>
        </w:rPr>
      </w:pPr>
      <w:r w:rsidRPr="00BB4D83">
        <w:rPr>
          <w:lang w:val="es-ES_tradnl"/>
        </w:rPr>
        <w:lastRenderedPageBreak/>
        <w:t>Esto no significa que todos los países deban impulsar los mismos sectores. Cada estrategia debe considerar los recursos, las capacidades y las necesidades de cada territorio. Por ello, las universidades regionales y locales desempeñan un papel importante. Estas instituciones conocen los problemas de su entorno, pueden relacionarse con pequeñas empresas y formar profesionales que respondan a las necesidades locales. También pueden contribuir a la creación de redes regionales de innovación.</w:t>
      </w:r>
    </w:p>
    <w:p w:rsidR="000232C3" w:rsidRPr="00BB4D83" w:rsidRDefault="00000000">
      <w:pPr>
        <w:spacing w:before="180" w:after="180"/>
        <w:jc w:val="both"/>
        <w:rPr>
          <w:lang w:val="es-ES_tradnl"/>
        </w:rPr>
      </w:pPr>
      <w:r w:rsidRPr="00BB4D83">
        <w:rPr>
          <w:lang w:val="es-ES_tradnl"/>
        </w:rPr>
        <w:t>Es necesario fortalecer la cooperación entre universidades, empresas y gobiernos. Esta relación puede desarrollarse mediante proyectos de innovación, transferencia tecnológica, laboratorios conjuntos y empresas de base científica (UDUALC &amp; Kairós, s. f.). Sin embargo, esta cooperación debe responder a objetivos públicos y no beneficiar únicamente a las grandes empresas. También debe incluir a pequeñas y medianas empresas, cooperativas, comunidades, gobiernos locales y organizaciones sociales.</w:t>
      </w:r>
    </w:p>
    <w:p w:rsidR="000232C3" w:rsidRPr="00BB4D83" w:rsidRDefault="00000000">
      <w:pPr>
        <w:spacing w:before="180" w:after="180"/>
        <w:jc w:val="both"/>
        <w:rPr>
          <w:lang w:val="es-ES_tradnl"/>
        </w:rPr>
      </w:pPr>
      <w:r w:rsidRPr="00BB4D83">
        <w:rPr>
          <w:lang w:val="es-ES_tradnl"/>
        </w:rPr>
        <w:t>La pertinencia educativa tampoco debe entenderse como una adaptación simple de las carreras a los empleos que existen en la actualidad. La estructura laboral actual refleja varios de los problemas productivos de la región. Si las universidades solo responden a esa estructura, pueden terminar por reproducir una economía de baja productividad. La pertinencia debe tener una visión de futuro. Las universidades deben formar capacidades para crear nuevos sectores, tecnologías y empleos. Deben responder a las necesidades actuales, pero también anticipar los cambios futuros.</w:t>
      </w:r>
    </w:p>
    <w:p w:rsidR="000232C3" w:rsidRPr="00BB4D83" w:rsidRDefault="00000000">
      <w:pPr>
        <w:pStyle w:val="Ttulo2"/>
        <w:keepLines w:val="0"/>
        <w:spacing w:before="160" w:after="80"/>
        <w:jc w:val="both"/>
        <w:rPr>
          <w:lang w:val="es-ES_tradnl"/>
        </w:rPr>
      </w:pPr>
      <w:r w:rsidRPr="00BB4D83">
        <w:rPr>
          <w:color w:val="auto"/>
          <w:sz w:val="24"/>
          <w:szCs w:val="24"/>
          <w:lang w:val="es-ES_tradnl"/>
        </w:rPr>
        <w:t>5. Investigación, innovación y economía del conocimiento</w:t>
      </w:r>
    </w:p>
    <w:p w:rsidR="000232C3" w:rsidRPr="00BB4D83" w:rsidRDefault="00000000">
      <w:pPr>
        <w:spacing w:before="180" w:after="180"/>
        <w:jc w:val="both"/>
        <w:rPr>
          <w:lang w:val="es-ES_tradnl"/>
        </w:rPr>
      </w:pPr>
      <w:r w:rsidRPr="00BB4D83">
        <w:rPr>
          <w:lang w:val="es-ES_tradnl"/>
        </w:rPr>
        <w:t>La educación superior forma parte de un sistema más amplio de ciencia, tecnología e innovación. América Latina y el Caribe presenta varias debilidades en este campo. La región invierte poco en investigación y desarrollo, sus sistemas científicos están fragmentados y existe una relación limitada entre la investigación y los sectores productivos. También existe una fuerte dependencia de tecnologías desarrolladas en otros países.</w:t>
      </w:r>
    </w:p>
    <w:p w:rsidR="000232C3" w:rsidRPr="00BB4D83" w:rsidRDefault="00000000">
      <w:pPr>
        <w:spacing w:before="180" w:after="180"/>
        <w:jc w:val="both"/>
        <w:rPr>
          <w:lang w:val="es-ES_tradnl"/>
        </w:rPr>
      </w:pPr>
      <w:r w:rsidRPr="00BB4D83">
        <w:rPr>
          <w:lang w:val="es-ES_tradnl"/>
        </w:rPr>
        <w:t>La CEPAL propone que la política científica deje de ocupar un lugar secundario y se integre a las estrategias económicas, sociales y ambientales. Para ello, los países deben definir prioridades, financiar investigaciones de largo plazo, fortalecer los centros públicos y formar nuevos investigadores. También necesitan mecanismos para difundir el conocimiento científico entre las empresas, los gobiernos y las comunidades.</w:t>
      </w:r>
    </w:p>
    <w:p w:rsidR="000232C3" w:rsidRPr="00BB4D83" w:rsidRDefault="00000000">
      <w:pPr>
        <w:spacing w:before="180" w:after="180"/>
        <w:jc w:val="both"/>
        <w:rPr>
          <w:lang w:val="es-ES_tradnl"/>
        </w:rPr>
      </w:pPr>
      <w:r w:rsidRPr="00BB4D83">
        <w:rPr>
          <w:lang w:val="es-ES_tradnl"/>
        </w:rPr>
        <w:t>La investigación universitaria no debe orientarse únicamente a la creación de productos comerciales. También debe contribuir a resolver problemas sociales y ambientales. Las universidades pueden investigar temas como la pobreza, la salud pública, el cambio climático, la biodiversidad, la violencia, la movilidad urbana, el agua y los sistemas alimentarios. De la misma manera, la innovación no debe limitarse a las patentes o a la creación de empresas. También existen innovaciones sociales, educativas, ambientales e institucionales. Una nueva forma de enseñar, una política de cuidados o un sistema comunitario para administrar el agua pueden ser innovaciones importantes, aunque no produzcan beneficios inmediatos.</w:t>
      </w:r>
    </w:p>
    <w:p w:rsidR="000232C3" w:rsidRPr="00BB4D83" w:rsidRDefault="00000000">
      <w:pPr>
        <w:spacing w:before="180" w:after="180"/>
        <w:jc w:val="both"/>
        <w:rPr>
          <w:lang w:val="es-ES_tradnl"/>
        </w:rPr>
      </w:pPr>
      <w:r w:rsidRPr="00BB4D83">
        <w:rPr>
          <w:lang w:val="es-ES_tradnl"/>
        </w:rPr>
        <w:t xml:space="preserve">La inteligencia artificial ocupa un lugar cada vez más importante en esta agenda. Puede mejorar el aprendizaje, la investigación, la productividad y el funcionamiento de los gobiernos. Sin embargo, también puede aumentar las brechas digitales, concentrar el poder </w:t>
      </w:r>
      <w:r w:rsidRPr="00BB4D83">
        <w:rPr>
          <w:lang w:val="es-ES_tradnl"/>
        </w:rPr>
        <w:lastRenderedPageBreak/>
        <w:t>económico, desplazar ciertos empleos y reproducir prejuicios sociales. Por esta razón, el documento de UDUALC y Kairós propone que la CEPAL impulse una agenda regional de inteligencia artificial para la educación superior. Esta agenda incluiría aspectos como la ética, la regulación, la formación docente, la investigación y la infraestructura digital (UDUALC &amp; Kairós, s. f.).</w:t>
      </w:r>
    </w:p>
    <w:p w:rsidR="000232C3" w:rsidRPr="00BB4D83" w:rsidRDefault="00000000">
      <w:pPr>
        <w:spacing w:before="180" w:after="180"/>
        <w:jc w:val="both"/>
        <w:rPr>
          <w:lang w:val="es-ES_tradnl"/>
        </w:rPr>
      </w:pPr>
      <w:r w:rsidRPr="00BB4D83">
        <w:rPr>
          <w:lang w:val="es-ES_tradnl"/>
        </w:rPr>
        <w:t>Esta propuesta responde a la necesidad de orientar y regular los cambios tecnológicos. No basta con incorporar herramientas digitales en las universidades. También es necesario garantizar el acceso a internet, capacitar a los docentes, proteger los datos personales y revisar el funcionamiento de los algoritmos. Además, debe evitarse que el acceso a la inteligencia artificial dependa del ingreso de los estudiantes o del presupuesto de cada universidad.</w:t>
      </w:r>
    </w:p>
    <w:p w:rsidR="000232C3" w:rsidRPr="00BB4D83" w:rsidRDefault="00000000">
      <w:pPr>
        <w:spacing w:before="180" w:after="180"/>
        <w:jc w:val="both"/>
        <w:rPr>
          <w:lang w:val="es-ES_tradnl"/>
        </w:rPr>
      </w:pPr>
      <w:r w:rsidRPr="00BB4D83">
        <w:rPr>
          <w:lang w:val="es-ES_tradnl"/>
        </w:rPr>
        <w:t>El documento de UDUALC y Kairós propone crear un fondo regional para redes de investigación, que podría reunir recursos de bancos de desarrollo, agencias de cooperación y gobiernos (UDUALC &amp; Kairós, s. f.). Aunque la CEPAL no financia directamente este tipo de proyectos, puede ayudar a reunir actores, producir información y promover acuerdos regionales.</w:t>
      </w:r>
    </w:p>
    <w:p w:rsidR="000232C3" w:rsidRPr="00BB4D83" w:rsidRDefault="00000000">
      <w:pPr>
        <w:pStyle w:val="Ttulo2"/>
        <w:keepLines w:val="0"/>
        <w:spacing w:before="160" w:after="80"/>
        <w:jc w:val="both"/>
        <w:rPr>
          <w:lang w:val="es-ES_tradnl"/>
        </w:rPr>
      </w:pPr>
      <w:r w:rsidRPr="00BB4D83">
        <w:rPr>
          <w:color w:val="auto"/>
          <w:sz w:val="24"/>
          <w:szCs w:val="24"/>
          <w:lang w:val="es-ES_tradnl"/>
        </w:rPr>
        <w:t>6. Financiamiento y sostenibilidad de la educación</w:t>
      </w:r>
    </w:p>
    <w:p w:rsidR="000232C3" w:rsidRPr="00BB4D83" w:rsidRDefault="00000000">
      <w:pPr>
        <w:spacing w:before="180" w:after="180"/>
        <w:jc w:val="both"/>
        <w:rPr>
          <w:lang w:val="es-ES_tradnl"/>
        </w:rPr>
      </w:pPr>
      <w:r w:rsidRPr="00BB4D83">
        <w:rPr>
          <w:lang w:val="es-ES_tradnl"/>
        </w:rPr>
        <w:t>Transformar la educación requiere recursos públicos suficientes, estables y bien distribuidos. Los presupuestos educativos no deberían depender únicamente de decisiones anuales o de cambios políticos de corto plazo. Los países de la región necesitan invertir más y mejor en educación, así como asegurar el financiamiento de las políticas educativas durante periodos prolongados (Huepe, 2024).</w:t>
      </w:r>
    </w:p>
    <w:p w:rsidR="000232C3" w:rsidRPr="00BB4D83" w:rsidRDefault="00000000">
      <w:pPr>
        <w:spacing w:before="180" w:after="180"/>
        <w:jc w:val="both"/>
        <w:rPr>
          <w:lang w:val="es-ES_tradnl"/>
        </w:rPr>
      </w:pPr>
      <w:r w:rsidRPr="00BB4D83">
        <w:rPr>
          <w:lang w:val="es-ES_tradnl"/>
        </w:rPr>
        <w:t>Este objetivo enfrenta varias dificultades. Muchos países tienen una baja recaudación de impuestos, sistemas fiscales poco progresivos y niveles elevados de deuda. Al mismo tiempo, deben atender necesidades crecientes en salud, pensiones, cuidados, vivienda y protección social. En este contexto, la expansión de la educación superior no debería depender en exceso del gasto de las familias ni de los créditos estudiantiles. Cuando los hogares tienen que pagar una parte elevada de los costos educativos, el acceso y la permanencia dependen de su nivel de ingreso, lo que puede aumentar las desigualdades.</w:t>
      </w:r>
    </w:p>
    <w:p w:rsidR="000232C3" w:rsidRPr="00BB4D83" w:rsidRDefault="00000000">
      <w:pPr>
        <w:spacing w:before="180" w:after="180"/>
        <w:jc w:val="both"/>
        <w:rPr>
          <w:lang w:val="es-ES_tradnl"/>
        </w:rPr>
      </w:pPr>
      <w:r w:rsidRPr="00BB4D83">
        <w:rPr>
          <w:lang w:val="es-ES_tradnl"/>
        </w:rPr>
        <w:t>El financiamiento público debe cubrir la infraestructura, los salarios docentes, la investigación, las becas, la conectividad y los servicios para los estudiantes. También debe apoyar los sistemas que evalúan y garantizan la calidad educativa. Es importante considerar las diferencias territoriales, ya que las universidades ubicadas fuera de las principales ciudades suelen contar con menos recursos. La distribución del presupuesto debe ayudar a reducir estas brechas.</w:t>
      </w:r>
    </w:p>
    <w:p w:rsidR="000232C3" w:rsidRPr="00BB4D83" w:rsidRDefault="00000000">
      <w:pPr>
        <w:spacing w:before="180" w:after="180"/>
        <w:jc w:val="both"/>
        <w:rPr>
          <w:lang w:val="es-ES_tradnl"/>
        </w:rPr>
      </w:pPr>
      <w:r w:rsidRPr="00BB4D83">
        <w:rPr>
          <w:lang w:val="es-ES_tradnl"/>
        </w:rPr>
        <w:t>La CEPAL también vincula el financiamiento educativo con la necesidad de construir sistemas tributarios más progresivos y de mejorar el uso de los recursos públicos. Sin embargo, mejorar la eficiencia no debe utilizarse como argumento para reducir los presupuestos. Es necesario gastar mejor, pero también contar con recursos suficientes para alcanzar los objetivos educativos.</w:t>
      </w:r>
    </w:p>
    <w:p w:rsidR="000232C3" w:rsidRPr="00BB4D83" w:rsidRDefault="00000000">
      <w:pPr>
        <w:spacing w:before="180" w:after="180"/>
        <w:jc w:val="both"/>
        <w:rPr>
          <w:lang w:val="es-ES_tradnl"/>
        </w:rPr>
      </w:pPr>
      <w:r w:rsidRPr="00BB4D83">
        <w:rPr>
          <w:lang w:val="es-ES_tradnl"/>
        </w:rPr>
        <w:t xml:space="preserve">Las instituciones educativas y los ministerios de educación deben participar en las discusiones sobre impuestos y presupuesto. También deben explicar con claridad los </w:t>
      </w:r>
      <w:r w:rsidRPr="00BB4D83">
        <w:rPr>
          <w:lang w:val="es-ES_tradnl"/>
        </w:rPr>
        <w:lastRenderedPageBreak/>
        <w:t>beneficios económicos y sociales de invertir en educación. De esta forma, la educación puede entenderse como una inversión estratégica y no solo como un gasto (Huepe, 2024). Los bancos de desarrollo y la cooperación internacional pueden complementar el financiamiento nacional, pero estos recursos deben responder a las prioridades públicas de cada país y no sustituir la responsabilidad de los Estados.</w:t>
      </w:r>
    </w:p>
    <w:p w:rsidR="000232C3" w:rsidRPr="00BB4D83" w:rsidRDefault="00000000">
      <w:pPr>
        <w:pStyle w:val="Ttulo1"/>
        <w:keepLines w:val="0"/>
        <w:spacing w:before="360" w:after="80"/>
        <w:jc w:val="both"/>
        <w:rPr>
          <w:lang w:val="es-ES_tradnl"/>
        </w:rPr>
      </w:pPr>
      <w:r w:rsidRPr="00BB4D83">
        <w:rPr>
          <w:color w:val="auto"/>
          <w:sz w:val="24"/>
          <w:szCs w:val="24"/>
          <w:lang w:val="es-ES_tradnl"/>
        </w:rPr>
        <w:t>Referencias</w:t>
      </w:r>
    </w:p>
    <w:p w:rsidR="000232C3" w:rsidRPr="00BB4D83" w:rsidRDefault="00000000">
      <w:pPr>
        <w:spacing w:before="180" w:after="180"/>
        <w:jc w:val="both"/>
        <w:rPr>
          <w:lang w:val="es-ES_tradnl"/>
        </w:rPr>
      </w:pPr>
      <w:r w:rsidRPr="00BB4D83">
        <w:rPr>
          <w:lang w:val="es-ES_tradnl"/>
        </w:rPr>
        <w:t xml:space="preserve">Bárcena, A., &amp; Serra, N. (Eds.). (2011). </w:t>
      </w:r>
      <w:r w:rsidRPr="00BB4D83">
        <w:rPr>
          <w:i/>
          <w:iCs/>
          <w:lang w:val="es-ES_tradnl"/>
        </w:rPr>
        <w:t>Educación, desarrollo y ciudadanía en América Latina: Propuestas para el debate</w:t>
      </w:r>
      <w:r w:rsidRPr="00BB4D83">
        <w:rPr>
          <w:lang w:val="es-ES_tradnl"/>
        </w:rPr>
        <w:t>. Comisión Económica para América Latina y el Caribe y Fundación CIDOB.</w:t>
      </w:r>
    </w:p>
    <w:p w:rsidR="000232C3" w:rsidRPr="00BB4D83" w:rsidRDefault="00000000">
      <w:pPr>
        <w:spacing w:before="180" w:after="180"/>
        <w:jc w:val="both"/>
        <w:rPr>
          <w:lang w:val="es-ES_tradnl"/>
        </w:rPr>
      </w:pPr>
      <w:r w:rsidRPr="00BB4D83">
        <w:rPr>
          <w:lang w:val="es-ES_tradnl"/>
        </w:rPr>
        <w:t xml:space="preserve">Carlson, B. A. (2002). Educación y mercado del trabajo en América Latina. </w:t>
      </w:r>
      <w:r w:rsidRPr="00BB4D83">
        <w:rPr>
          <w:i/>
          <w:iCs/>
          <w:lang w:val="es-ES_tradnl"/>
        </w:rPr>
        <w:t>Revista CEPAL, 77</w:t>
      </w:r>
      <w:r w:rsidRPr="00BB4D83">
        <w:rPr>
          <w:lang w:val="es-ES_tradnl"/>
        </w:rPr>
        <w:t>, 123-141.</w:t>
      </w:r>
    </w:p>
    <w:p w:rsidR="000232C3" w:rsidRPr="00BB4D83" w:rsidRDefault="00000000">
      <w:pPr>
        <w:spacing w:before="180" w:after="180"/>
        <w:jc w:val="both"/>
        <w:rPr>
          <w:lang w:val="es-ES_tradnl"/>
        </w:rPr>
      </w:pPr>
      <w:proofErr w:type="spellStart"/>
      <w:r w:rsidRPr="00BB4D83">
        <w:rPr>
          <w:lang w:val="es-ES_tradnl"/>
        </w:rPr>
        <w:t>Cetrángolo</w:t>
      </w:r>
      <w:proofErr w:type="spellEnd"/>
      <w:r w:rsidRPr="00BB4D83">
        <w:rPr>
          <w:lang w:val="es-ES_tradnl"/>
        </w:rPr>
        <w:t xml:space="preserve">, O., &amp; </w:t>
      </w:r>
      <w:proofErr w:type="spellStart"/>
      <w:r w:rsidRPr="00BB4D83">
        <w:rPr>
          <w:lang w:val="es-ES_tradnl"/>
        </w:rPr>
        <w:t>Curcio</w:t>
      </w:r>
      <w:proofErr w:type="spellEnd"/>
      <w:r w:rsidRPr="00BB4D83">
        <w:rPr>
          <w:lang w:val="es-ES_tradnl"/>
        </w:rPr>
        <w:t xml:space="preserve">, J. (2017). </w:t>
      </w:r>
      <w:r w:rsidRPr="00BB4D83">
        <w:rPr>
          <w:i/>
          <w:iCs/>
          <w:lang w:val="es-ES_tradnl"/>
        </w:rPr>
        <w:t>Financiamiento y gasto educativo en América Latina</w:t>
      </w:r>
      <w:r w:rsidRPr="00BB4D83">
        <w:rPr>
          <w:lang w:val="es-ES_tradnl"/>
        </w:rPr>
        <w:t>. Comisión Económica para América Latina y el Caribe.</w:t>
      </w:r>
    </w:p>
    <w:p w:rsidR="000232C3" w:rsidRPr="00BB4D83" w:rsidRDefault="00000000">
      <w:pPr>
        <w:spacing w:before="180" w:after="180"/>
        <w:jc w:val="both"/>
        <w:rPr>
          <w:lang w:val="es-ES_tradnl"/>
        </w:rPr>
      </w:pPr>
      <w:r w:rsidRPr="00BB4D83">
        <w:rPr>
          <w:lang w:val="es-ES_tradnl"/>
        </w:rPr>
        <w:t xml:space="preserve">Comisión Económica para América Latina y el Caribe. (2022). </w:t>
      </w:r>
      <w:r w:rsidRPr="00BB4D83">
        <w:rPr>
          <w:i/>
          <w:iCs/>
          <w:lang w:val="es-ES_tradnl"/>
        </w:rPr>
        <w:t>Panorama social de América Latina y el Caribe 2022: La transformación de la educación como base para el desarrollo sostenible</w:t>
      </w:r>
      <w:r w:rsidRPr="00BB4D83">
        <w:rPr>
          <w:lang w:val="es-ES_tradnl"/>
        </w:rPr>
        <w:t>. Naciones Unidas.</w:t>
      </w:r>
    </w:p>
    <w:p w:rsidR="000232C3" w:rsidRPr="00BB4D83" w:rsidRDefault="00000000">
      <w:pPr>
        <w:spacing w:before="180" w:after="180"/>
        <w:jc w:val="both"/>
        <w:rPr>
          <w:lang w:val="es-ES_tradnl"/>
        </w:rPr>
      </w:pPr>
      <w:r w:rsidRPr="00BB4D83">
        <w:rPr>
          <w:lang w:val="es-ES_tradnl"/>
        </w:rPr>
        <w:t xml:space="preserve">Comisión Económica para América Latina y el Caribe. (2024a). </w:t>
      </w:r>
      <w:r w:rsidRPr="00BB4D83">
        <w:rPr>
          <w:i/>
          <w:iCs/>
          <w:lang w:val="es-ES_tradnl"/>
        </w:rPr>
        <w:t>América Latina y el Caribe ante las trampas del desarrollo: Transformaciones indispensables y cómo gestionarlas</w:t>
      </w:r>
      <w:r w:rsidRPr="00BB4D83">
        <w:rPr>
          <w:lang w:val="es-ES_tradnl"/>
        </w:rPr>
        <w:t>. Naciones Unidas.</w:t>
      </w:r>
    </w:p>
    <w:p w:rsidR="000232C3" w:rsidRPr="00BB4D83" w:rsidRDefault="00000000">
      <w:pPr>
        <w:spacing w:before="180" w:after="180"/>
        <w:jc w:val="both"/>
        <w:rPr>
          <w:lang w:val="es-ES_tradnl"/>
        </w:rPr>
      </w:pPr>
      <w:r w:rsidRPr="00BB4D83">
        <w:rPr>
          <w:lang w:val="es-ES_tradnl"/>
        </w:rPr>
        <w:t xml:space="preserve">Comisión Económica para América Latina y el Caribe. (2024b). </w:t>
      </w:r>
      <w:r w:rsidRPr="00BB4D83">
        <w:rPr>
          <w:i/>
          <w:iCs/>
          <w:lang w:val="es-ES_tradnl"/>
        </w:rPr>
        <w:t>Prevención y reducción del abandono escolar en América Latina y el Caribe</w:t>
      </w:r>
      <w:r w:rsidRPr="00BB4D83">
        <w:rPr>
          <w:lang w:val="es-ES_tradnl"/>
        </w:rPr>
        <w:t>. Naciones Unidas.</w:t>
      </w:r>
    </w:p>
    <w:p w:rsidR="000232C3" w:rsidRPr="00BB4D83" w:rsidRDefault="00000000">
      <w:pPr>
        <w:spacing w:before="180" w:after="180"/>
        <w:jc w:val="both"/>
        <w:rPr>
          <w:lang w:val="es-ES_tradnl"/>
        </w:rPr>
      </w:pPr>
      <w:r w:rsidRPr="00BB4D83">
        <w:rPr>
          <w:lang w:val="es-ES_tradnl"/>
        </w:rPr>
        <w:t xml:space="preserve">Huepe, M. (2024). </w:t>
      </w:r>
      <w:r w:rsidRPr="00BB4D83">
        <w:rPr>
          <w:i/>
          <w:iCs/>
          <w:lang w:val="es-ES_tradnl"/>
        </w:rPr>
        <w:t>El desafío de la sostenibilidad financiera de la educación en América Latina y el Caribe</w:t>
      </w:r>
      <w:r w:rsidRPr="00BB4D83">
        <w:rPr>
          <w:lang w:val="es-ES_tradnl"/>
        </w:rPr>
        <w:t>. Comisión Económica para América Latina y el Caribe.</w:t>
      </w:r>
    </w:p>
    <w:p w:rsidR="000232C3" w:rsidRPr="00BB4D83" w:rsidRDefault="00000000">
      <w:pPr>
        <w:spacing w:before="180" w:after="180"/>
        <w:jc w:val="both"/>
        <w:rPr>
          <w:lang w:val="es-ES_tradnl"/>
        </w:rPr>
      </w:pPr>
      <w:r w:rsidRPr="00BB4D83">
        <w:rPr>
          <w:lang w:val="es-ES_tradnl"/>
        </w:rPr>
        <w:t xml:space="preserve">Moreno </w:t>
      </w:r>
      <w:proofErr w:type="spellStart"/>
      <w:r w:rsidRPr="00BB4D83">
        <w:rPr>
          <w:lang w:val="es-ES_tradnl"/>
        </w:rPr>
        <w:t>Brid</w:t>
      </w:r>
      <w:proofErr w:type="spellEnd"/>
      <w:r w:rsidRPr="00BB4D83">
        <w:rPr>
          <w:lang w:val="es-ES_tradnl"/>
        </w:rPr>
        <w:t xml:space="preserve">, J. C., &amp; Ruiz Nápoles, P. (2009). </w:t>
      </w:r>
      <w:r w:rsidRPr="00BB4D83">
        <w:rPr>
          <w:i/>
          <w:iCs/>
          <w:lang w:val="es-ES_tradnl"/>
        </w:rPr>
        <w:t>La educación superior y el desarrollo económico en América Latina</w:t>
      </w:r>
      <w:r w:rsidRPr="00BB4D83">
        <w:rPr>
          <w:lang w:val="es-ES_tradnl"/>
        </w:rPr>
        <w:t>. Comisión Económica para América Latina y el Caribe.</w:t>
      </w:r>
    </w:p>
    <w:p w:rsidR="000232C3" w:rsidRPr="00BB4D83" w:rsidRDefault="00000000">
      <w:pPr>
        <w:spacing w:before="180" w:after="180"/>
        <w:jc w:val="both"/>
        <w:rPr>
          <w:lang w:val="es-ES_tradnl"/>
        </w:rPr>
      </w:pPr>
      <w:r w:rsidRPr="00BB4D83">
        <w:rPr>
          <w:lang w:val="es-ES_tradnl"/>
        </w:rPr>
        <w:t xml:space="preserve">Unión de Universidades de América Latina y el Caribe, &amp; Kairós. (s. f.). </w:t>
      </w:r>
      <w:r w:rsidRPr="00BB4D83">
        <w:rPr>
          <w:i/>
          <w:iCs/>
          <w:lang w:val="es-ES_tradnl"/>
        </w:rPr>
        <w:t>Diálogo estratégico: Propuestas a CEPAL de UDUALC y Kairós. Educación</w:t>
      </w:r>
      <w:r w:rsidRPr="00BB4D83">
        <w:rPr>
          <w:lang w:val="es-ES_tradnl"/>
        </w:rPr>
        <w:t xml:space="preserve"> [Documento de trabajo].</w:t>
      </w:r>
    </w:p>
    <w:sectPr w:rsidR="000232C3" w:rsidRPr="00BB4D83">
      <w:pgSz w:w="12240" w:h="15840"/>
      <w:pgMar w:top="1417" w:right="1701" w:bottom="1417"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2C3"/>
    <w:rsid w:val="000232C3"/>
    <w:rsid w:val="00BB4D8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docId w15:val="{4DF0DE48-863D-7C4B-BCC5-811DF6822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Ttulo1">
    <w:name w:val="heading 1"/>
    <w:basedOn w:val="Normal"/>
    <w:next w:val="Normal"/>
    <w:link w:val="Ttulo1Car"/>
    <w:uiPriority w:val="9"/>
    <w:qFormat/>
    <w:rsid w:val="00506D7A"/>
    <w:pPr>
      <w:keepNext/>
      <w:keepLines/>
      <w:spacing w:before="240"/>
      <w:outlineLvl w:val="0"/>
    </w:pPr>
    <w:rPr>
      <w:b/>
      <w:bCs/>
      <w:color w:val="2F5496"/>
      <w:kern w:val="36"/>
      <w:sz w:val="48"/>
      <w:szCs w:val="48"/>
    </w:rPr>
  </w:style>
  <w:style w:type="paragraph" w:styleId="Ttulo2">
    <w:name w:val="heading 2"/>
    <w:basedOn w:val="Normal"/>
    <w:next w:val="Normal"/>
    <w:link w:val="Ttulo2Car"/>
    <w:uiPriority w:val="9"/>
    <w:qFormat/>
    <w:rsid w:val="00506D7A"/>
    <w:pPr>
      <w:keepNext/>
      <w:keepLines/>
      <w:spacing w:before="40"/>
      <w:outlineLvl w:val="1"/>
    </w:pPr>
    <w:rPr>
      <w:b/>
      <w:bCs/>
      <w:color w:val="2F5496"/>
      <w:sz w:val="36"/>
      <w:szCs w:val="36"/>
    </w:rPr>
  </w:style>
  <w:style w:type="paragraph" w:styleId="Ttulo3">
    <w:name w:val="heading 3"/>
    <w:basedOn w:val="Normal"/>
    <w:next w:val="Normal"/>
    <w:link w:val="Ttulo3Car"/>
    <w:uiPriority w:val="9"/>
    <w:qFormat/>
    <w:rsid w:val="00506D7A"/>
    <w:pPr>
      <w:keepNext/>
      <w:keepLines/>
      <w:spacing w:before="40"/>
      <w:outlineLvl w:val="2"/>
    </w:pPr>
    <w:rPr>
      <w:b/>
      <w:bCs/>
      <w:color w:val="1F3763"/>
      <w:sz w:val="28"/>
      <w:szCs w:val="28"/>
    </w:rPr>
  </w:style>
  <w:style w:type="paragraph" w:styleId="Ttulo4">
    <w:name w:val="heading 4"/>
    <w:basedOn w:val="Normal"/>
    <w:next w:val="Normal"/>
    <w:link w:val="Ttulo4Car"/>
    <w:uiPriority w:val="9"/>
    <w:qFormat/>
    <w:rsid w:val="00506D7A"/>
    <w:pPr>
      <w:keepNext/>
      <w:keepLines/>
      <w:spacing w:before="40"/>
      <w:outlineLvl w:val="3"/>
    </w:pPr>
    <w:rPr>
      <w:b/>
      <w:bCs/>
      <w:iCs/>
      <w:color w:val="2F5496"/>
    </w:rPr>
  </w:style>
  <w:style w:type="paragraph" w:styleId="Ttulo5">
    <w:name w:val="heading 5"/>
    <w:basedOn w:val="Normal"/>
    <w:next w:val="Normal"/>
    <w:link w:val="Ttulo5Car"/>
    <w:uiPriority w:val="9"/>
    <w:qFormat/>
    <w:rsid w:val="00506D7A"/>
    <w:pPr>
      <w:keepNext/>
      <w:keepLines/>
      <w:spacing w:before="40"/>
      <w:outlineLvl w:val="4"/>
    </w:pPr>
    <w:rPr>
      <w:b/>
      <w:bCs/>
      <w:color w:val="2F5496"/>
      <w:sz w:val="20"/>
      <w:szCs w:val="20"/>
    </w:rPr>
  </w:style>
  <w:style w:type="paragraph" w:styleId="Ttulo6">
    <w:name w:val="heading 6"/>
    <w:basedOn w:val="Normal"/>
    <w:next w:val="Normal"/>
    <w:link w:val="Ttulo6Car"/>
    <w:uiPriority w:val="9"/>
    <w:qFormat/>
    <w:rsid w:val="00506D7A"/>
    <w:pPr>
      <w:keepNext/>
      <w:keepLines/>
      <w:spacing w:before="40"/>
      <w:outlineLvl w:val="5"/>
    </w:pPr>
    <w:rPr>
      <w:b/>
      <w:bCs/>
      <w:color w:val="1F3763"/>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6D7A"/>
    <w:rPr>
      <w:rFonts w:ascii="Calibri Light" w:eastAsia="Times New Roman" w:hAnsi="Calibri Light" w:cs="Times New Roman"/>
      <w:color w:val="2F5496"/>
      <w:sz w:val="32"/>
      <w:szCs w:val="32"/>
    </w:rPr>
  </w:style>
  <w:style w:type="character" w:customStyle="1" w:styleId="Ttulo2Car">
    <w:name w:val="Título 2 Car"/>
    <w:basedOn w:val="Fuentedeprrafopredeter"/>
    <w:link w:val="Ttulo2"/>
    <w:uiPriority w:val="9"/>
    <w:rsid w:val="00506D7A"/>
    <w:rPr>
      <w:rFonts w:ascii="Calibri Light" w:eastAsia="Times New Roman" w:hAnsi="Calibri Light" w:cs="Times New Roman"/>
      <w:color w:val="2F5496"/>
      <w:sz w:val="26"/>
      <w:szCs w:val="26"/>
    </w:rPr>
  </w:style>
  <w:style w:type="character" w:customStyle="1" w:styleId="Ttulo3Car">
    <w:name w:val="Título 3 Car"/>
    <w:basedOn w:val="Fuentedeprrafopredeter"/>
    <w:link w:val="Ttulo3"/>
    <w:uiPriority w:val="9"/>
    <w:rsid w:val="00506D7A"/>
    <w:rPr>
      <w:rFonts w:ascii="Calibri Light" w:eastAsia="Times New Roman" w:hAnsi="Calibri Light" w:cs="Times New Roman"/>
      <w:color w:val="1F3763"/>
      <w:sz w:val="24"/>
      <w:szCs w:val="24"/>
    </w:rPr>
  </w:style>
  <w:style w:type="character" w:customStyle="1" w:styleId="Ttulo4Car">
    <w:name w:val="Título 4 Car"/>
    <w:basedOn w:val="Fuentedeprrafopredeter"/>
    <w:link w:val="Ttulo4"/>
    <w:uiPriority w:val="9"/>
    <w:rsid w:val="00506D7A"/>
    <w:rPr>
      <w:rFonts w:ascii="Calibri Light" w:eastAsia="Times New Roman" w:hAnsi="Calibri Light" w:cs="Times New Roman"/>
      <w:i/>
      <w:iCs/>
      <w:color w:val="2F5496"/>
    </w:rPr>
  </w:style>
  <w:style w:type="character" w:customStyle="1" w:styleId="Ttulo5Car">
    <w:name w:val="Título 5 Car"/>
    <w:basedOn w:val="Fuentedeprrafopredeter"/>
    <w:link w:val="Ttulo5"/>
    <w:uiPriority w:val="9"/>
    <w:rsid w:val="00506D7A"/>
    <w:rPr>
      <w:rFonts w:ascii="Calibri Light" w:eastAsia="Times New Roman" w:hAnsi="Calibri Light" w:cs="Times New Roman"/>
      <w:color w:val="2F5496"/>
    </w:rPr>
  </w:style>
  <w:style w:type="character" w:customStyle="1" w:styleId="Ttulo6Car">
    <w:name w:val="Título 6 Car"/>
    <w:basedOn w:val="Fuentedeprrafopredeter"/>
    <w:link w:val="Ttulo6"/>
    <w:uiPriority w:val="9"/>
    <w:rsid w:val="00506D7A"/>
    <w:rPr>
      <w:rFonts w:ascii="Calibri Light" w:eastAsia="Times New Roman" w:hAnsi="Calibri Light" w:cs="Times New Roman"/>
      <w:color w:val="1F376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3997</Words>
  <Characters>21987</Characters>
  <Application>Microsoft Office Word</Application>
  <DocSecurity>0</DocSecurity>
  <Lines>183</Lines>
  <Paragraphs>51</Paragraphs>
  <ScaleCrop>false</ScaleCrop>
  <Company/>
  <LinksUpToDate>false</LinksUpToDate>
  <CharactersWithSpaces>25933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educación superior y el desarrollo en América Latina y el Caribe</dc:title>
  <cp:lastModifiedBy>Luis Fernando González Martínez</cp:lastModifiedBy>
  <cp:revision>1</cp:revision>
  <dcterms:created xsi:type="dcterms:W3CDTF">2026-07-30T17:40:00Z</dcterms:created>
  <dcterms:modified xsi:type="dcterms:W3CDTF">2026-07-30T17:41:00Z</dcterms:modified>
</cp:coreProperties>
</file>